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45742F9C" w:rsidR="0030072F" w:rsidRPr="00A305AC" w:rsidRDefault="0007653D" w:rsidP="00AA6536">
      <w:pPr>
        <w:widowControl w:val="0"/>
        <w:spacing w:line="360" w:lineRule="auto"/>
        <w:ind w:right="-164"/>
        <w:jc w:val="both"/>
        <w:rPr>
          <w:rFonts w:ascii="Palatino Linotype" w:eastAsia="Calibri" w:hAnsi="Palatino Linotype" w:cs="Arial"/>
          <w:b/>
          <w:color w:val="000000"/>
        </w:rPr>
      </w:pPr>
      <w:r w:rsidRPr="00A305A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83041">
        <w:rPr>
          <w:rFonts w:ascii="Palatino Linotype" w:hAnsi="Palatino Linotype" w:cs="Arial"/>
          <w:b/>
        </w:rPr>
        <w:t xml:space="preserve">CUADRAGÉSIMA CUARTA </w:t>
      </w:r>
      <w:r w:rsidR="002D4526" w:rsidRPr="00A305AC">
        <w:rPr>
          <w:rFonts w:ascii="Palatino Linotype" w:hAnsi="Palatino Linotype" w:cs="Arial"/>
          <w:b/>
        </w:rPr>
        <w:t xml:space="preserve">SESIÓN ORDINARIA DE </w:t>
      </w:r>
      <w:r w:rsidR="00283041">
        <w:rPr>
          <w:rFonts w:ascii="Palatino Linotype" w:hAnsi="Palatino Linotype" w:cs="Arial"/>
          <w:b/>
        </w:rPr>
        <w:t>VEINTIOCHO DE NOVIEMBRE</w:t>
      </w:r>
      <w:r w:rsidR="00DA5209" w:rsidRPr="00A305AC">
        <w:rPr>
          <w:rFonts w:ascii="Palatino Linotype" w:hAnsi="Palatino Linotype" w:cs="Arial"/>
          <w:b/>
        </w:rPr>
        <w:t xml:space="preserve"> DE DOS MIL </w:t>
      </w:r>
      <w:r w:rsidR="00A305AC" w:rsidRPr="00A305AC">
        <w:rPr>
          <w:rFonts w:ascii="Palatino Linotype" w:hAnsi="Palatino Linotype" w:cs="Arial"/>
          <w:b/>
        </w:rPr>
        <w:t>DIECIOCHO</w:t>
      </w:r>
      <w:r w:rsidR="00DA5209" w:rsidRPr="00A305AC">
        <w:rPr>
          <w:rFonts w:ascii="Palatino Linotype" w:hAnsi="Palatino Linotype" w:cs="Arial"/>
          <w:b/>
        </w:rPr>
        <w:t xml:space="preserve">, </w:t>
      </w:r>
      <w:r w:rsidR="00D557C2" w:rsidRPr="00A305AC">
        <w:rPr>
          <w:rFonts w:ascii="Palatino Linotype" w:hAnsi="Palatino Linotype" w:cs="Arial"/>
          <w:b/>
        </w:rPr>
        <w:t>EN</w:t>
      </w:r>
      <w:r w:rsidR="00DA5209" w:rsidRPr="00A305AC">
        <w:rPr>
          <w:rFonts w:ascii="Palatino Linotype" w:hAnsi="Palatino Linotype" w:cs="Arial"/>
          <w:b/>
        </w:rPr>
        <w:t xml:space="preserve"> </w:t>
      </w:r>
      <w:r w:rsidR="00283041">
        <w:rPr>
          <w:rFonts w:ascii="Palatino Linotype" w:hAnsi="Palatino Linotype" w:cs="Arial"/>
          <w:b/>
        </w:rPr>
        <w:t>EL</w:t>
      </w:r>
      <w:r w:rsidR="002D4526" w:rsidRPr="00A305AC">
        <w:rPr>
          <w:rFonts w:ascii="Palatino Linotype" w:hAnsi="Palatino Linotype" w:cs="Arial"/>
          <w:b/>
        </w:rPr>
        <w:t xml:space="preserve"> RECURSO DE REVISIÓN </w:t>
      </w:r>
      <w:r w:rsidR="00A305AC" w:rsidRPr="00A305AC">
        <w:rPr>
          <w:rFonts w:ascii="Palatino Linotype" w:hAnsi="Palatino Linotype" w:cs="Arial"/>
          <w:b/>
        </w:rPr>
        <w:t>0</w:t>
      </w:r>
      <w:r w:rsidR="00283041">
        <w:rPr>
          <w:rFonts w:ascii="Palatino Linotype" w:hAnsi="Palatino Linotype" w:cs="Arial"/>
          <w:b/>
        </w:rPr>
        <w:t>3849</w:t>
      </w:r>
      <w:r w:rsidR="00A305AC" w:rsidRPr="00A305AC">
        <w:rPr>
          <w:rFonts w:ascii="Palatino Linotype" w:hAnsi="Palatino Linotype" w:cs="Arial"/>
          <w:b/>
        </w:rPr>
        <w:t>/INFOEM/IP/RR/2018</w:t>
      </w:r>
      <w:r w:rsidR="00A305AC" w:rsidRPr="00A305AC">
        <w:rPr>
          <w:rFonts w:ascii="Palatino Linotype" w:eastAsia="Calibri" w:hAnsi="Palatino Linotype" w:cs="Arial"/>
          <w:b/>
          <w:color w:val="000000"/>
        </w:rPr>
        <w:t>.</w:t>
      </w:r>
    </w:p>
    <w:p w14:paraId="2661160B" w14:textId="77777777" w:rsidR="0030072F" w:rsidRPr="00A305AC" w:rsidRDefault="0030072F" w:rsidP="00AA6536">
      <w:pPr>
        <w:widowControl w:val="0"/>
        <w:spacing w:line="360" w:lineRule="auto"/>
        <w:ind w:right="-164"/>
        <w:jc w:val="both"/>
        <w:rPr>
          <w:rFonts w:ascii="Palatino Linotype" w:hAnsi="Palatino Linotype" w:cs="Arial"/>
          <w:b/>
        </w:rPr>
      </w:pPr>
    </w:p>
    <w:p w14:paraId="75976F25" w14:textId="14382398" w:rsidR="0030072F" w:rsidRPr="00A305AC" w:rsidRDefault="0030072F" w:rsidP="00AA6536">
      <w:pPr>
        <w:spacing w:line="360" w:lineRule="auto"/>
        <w:ind w:right="-164"/>
        <w:jc w:val="both"/>
        <w:rPr>
          <w:rFonts w:ascii="Palatino Linotype" w:hAnsi="Palatino Linotype" w:cs="Arial"/>
        </w:rPr>
      </w:pPr>
      <w:r w:rsidRPr="00A305AC">
        <w:rPr>
          <w:rFonts w:ascii="Palatino Linotype" w:hAnsi="Palatino Linotype" w:cs="Arial"/>
        </w:rPr>
        <w:t xml:space="preserve">Con fundamento en lo dispuesto por </w:t>
      </w:r>
      <w:r w:rsidR="00B63AFD" w:rsidRPr="00A305AC">
        <w:rPr>
          <w:rFonts w:ascii="Palatino Linotype" w:hAnsi="Palatino Linotype" w:cs="Arial"/>
        </w:rPr>
        <w:t>el artículo 14</w:t>
      </w:r>
      <w:r w:rsidR="001C5D19">
        <w:rPr>
          <w:rFonts w:ascii="Palatino Linotype" w:hAnsi="Palatino Linotype" w:cs="Arial"/>
        </w:rPr>
        <w:t>,</w:t>
      </w:r>
      <w:r w:rsidR="00986DDD" w:rsidRPr="00A305AC">
        <w:rPr>
          <w:rFonts w:ascii="Palatino Linotype" w:hAnsi="Palatino Linotype" w:cs="Arial"/>
        </w:rPr>
        <w:t xml:space="preserve"> fracciones X y XI</w:t>
      </w:r>
      <w:r w:rsidRPr="00A305AC">
        <w:rPr>
          <w:rFonts w:ascii="Palatino Linotype" w:hAnsi="Palatino Linotype" w:cs="Arial"/>
        </w:rPr>
        <w:t xml:space="preserve"> del Reglamento Interior del Instituto de Transparencia, Acceso a la Información Pública y Protección de Datos Personales del Estado de México y Municipios, l</w:t>
      </w:r>
      <w:r w:rsidR="00E42755" w:rsidRPr="00A305AC">
        <w:rPr>
          <w:rFonts w:ascii="Palatino Linotype" w:hAnsi="Palatino Linotype" w:cs="Arial"/>
        </w:rPr>
        <w:t>a</w:t>
      </w:r>
      <w:r w:rsidRPr="00A305AC">
        <w:rPr>
          <w:rFonts w:ascii="Palatino Linotype" w:hAnsi="Palatino Linotype" w:cs="Arial"/>
        </w:rPr>
        <w:t xml:space="preserve"> que suscribe</w:t>
      </w:r>
      <w:r w:rsidRPr="00A305AC">
        <w:rPr>
          <w:rFonts w:ascii="Palatino Linotype" w:hAnsi="Palatino Linotype" w:cs="Arial"/>
          <w:b/>
          <w:lang w:val="es-ES_tradnl"/>
        </w:rPr>
        <w:t xml:space="preserve"> </w:t>
      </w:r>
      <w:r w:rsidRPr="00A305AC">
        <w:rPr>
          <w:rFonts w:ascii="Palatino Linotype" w:hAnsi="Palatino Linotype" w:cs="Arial"/>
          <w:b/>
        </w:rPr>
        <w:t xml:space="preserve">EVA ABAID YAPUR </w:t>
      </w:r>
      <w:r w:rsidRPr="00A305AC">
        <w:rPr>
          <w:rFonts w:ascii="Palatino Linotype" w:hAnsi="Palatino Linotype" w:cs="Arial"/>
        </w:rPr>
        <w:t xml:space="preserve">emite </w:t>
      </w:r>
      <w:r w:rsidRPr="00A305AC">
        <w:rPr>
          <w:rFonts w:ascii="Palatino Linotype" w:hAnsi="Palatino Linotype" w:cs="Arial"/>
          <w:b/>
        </w:rPr>
        <w:t xml:space="preserve">VOTO PARTICULAR </w:t>
      </w:r>
      <w:r w:rsidRPr="00A305AC">
        <w:rPr>
          <w:rFonts w:ascii="Palatino Linotype" w:hAnsi="Palatino Linotype" w:cs="Arial"/>
        </w:rPr>
        <w:t xml:space="preserve">respecto de la resolución dictada en </w:t>
      </w:r>
      <w:r w:rsidR="00283041">
        <w:rPr>
          <w:rFonts w:ascii="Palatino Linotype" w:hAnsi="Palatino Linotype" w:cs="Arial"/>
        </w:rPr>
        <w:t>el</w:t>
      </w:r>
      <w:r w:rsidRPr="00A305AC">
        <w:rPr>
          <w:rFonts w:ascii="Palatino Linotype" w:hAnsi="Palatino Linotype" w:cs="Arial"/>
        </w:rPr>
        <w:t xml:space="preserve"> recurso</w:t>
      </w:r>
      <w:r w:rsidR="00A305AC" w:rsidRPr="00A305AC">
        <w:rPr>
          <w:rFonts w:ascii="Palatino Linotype" w:hAnsi="Palatino Linotype" w:cs="Arial"/>
        </w:rPr>
        <w:t xml:space="preserve"> de revisión </w:t>
      </w:r>
      <w:r w:rsidR="00A305AC" w:rsidRPr="00A305AC">
        <w:rPr>
          <w:rFonts w:ascii="Palatino Linotype" w:eastAsia="Calibri" w:hAnsi="Palatino Linotype" w:cs="Arial"/>
          <w:b/>
          <w:color w:val="000000"/>
        </w:rPr>
        <w:t>0</w:t>
      </w:r>
      <w:r w:rsidR="00283041">
        <w:rPr>
          <w:rFonts w:ascii="Palatino Linotype" w:eastAsia="Calibri" w:hAnsi="Palatino Linotype" w:cs="Arial"/>
          <w:b/>
          <w:color w:val="000000"/>
        </w:rPr>
        <w:t>3849</w:t>
      </w:r>
      <w:r w:rsidR="00A305AC" w:rsidRPr="00A305AC">
        <w:rPr>
          <w:rFonts w:ascii="Palatino Linotype" w:eastAsia="Calibri" w:hAnsi="Palatino Linotype" w:cs="Arial"/>
          <w:b/>
          <w:color w:val="000000"/>
        </w:rPr>
        <w:t>/INFOEM/IP/RR/2018</w:t>
      </w:r>
      <w:r w:rsidRPr="00A305AC">
        <w:rPr>
          <w:rFonts w:ascii="Palatino Linotype" w:hAnsi="Palatino Linotype" w:cs="Arial"/>
        </w:rPr>
        <w:t xml:space="preserve">, pronunciada por el Pleno de este Instituto ante el proyecto presentado por </w:t>
      </w:r>
      <w:r w:rsidR="002D4526" w:rsidRPr="00A305AC">
        <w:rPr>
          <w:rFonts w:ascii="Palatino Linotype" w:hAnsi="Palatino Linotype" w:cs="Arial"/>
        </w:rPr>
        <w:t>el</w:t>
      </w:r>
      <w:r w:rsidRPr="00A305AC">
        <w:rPr>
          <w:rFonts w:ascii="Palatino Linotype" w:hAnsi="Palatino Linotype" w:cs="Arial"/>
        </w:rPr>
        <w:t xml:space="preserve"> Comisionad</w:t>
      </w:r>
      <w:r w:rsidR="002D4526" w:rsidRPr="00A305AC">
        <w:rPr>
          <w:rFonts w:ascii="Palatino Linotype" w:hAnsi="Palatino Linotype" w:cs="Arial"/>
        </w:rPr>
        <w:t xml:space="preserve">o </w:t>
      </w:r>
      <w:r w:rsidR="00A305AC" w:rsidRPr="00A305AC">
        <w:rPr>
          <w:rFonts w:ascii="Palatino Linotype" w:hAnsi="Palatino Linotype" w:cs="Arial"/>
          <w:b/>
        </w:rPr>
        <w:t>JAVIER MARTÍNEZ CRUZ</w:t>
      </w:r>
      <w:r w:rsidRPr="00A305AC">
        <w:rPr>
          <w:rFonts w:ascii="Palatino Linotype" w:hAnsi="Palatino Linotype" w:cs="Arial"/>
        </w:rPr>
        <w:t xml:space="preserve">, </w:t>
      </w:r>
      <w:r w:rsidR="00A305AC" w:rsidRPr="00A305AC">
        <w:rPr>
          <w:rFonts w:ascii="Palatino Linotype" w:hAnsi="Palatino Linotype" w:cs="Arial"/>
        </w:rPr>
        <w:t>que es del tenor siguiente.</w:t>
      </w:r>
    </w:p>
    <w:p w14:paraId="4D8FE5C3" w14:textId="77777777" w:rsidR="0030072F" w:rsidRPr="00A305AC" w:rsidRDefault="0030072F" w:rsidP="00AA6536">
      <w:pPr>
        <w:widowControl w:val="0"/>
        <w:spacing w:line="360" w:lineRule="auto"/>
        <w:ind w:right="-164"/>
        <w:jc w:val="both"/>
        <w:rPr>
          <w:rFonts w:ascii="Palatino Linotype" w:hAnsi="Palatino Linotype" w:cs="Arial"/>
        </w:rPr>
      </w:pPr>
    </w:p>
    <w:p w14:paraId="3802A3D4" w14:textId="53949FA3" w:rsidR="0007653D" w:rsidRPr="00A305AC" w:rsidRDefault="0007653D" w:rsidP="00AA6536">
      <w:pPr>
        <w:spacing w:line="360" w:lineRule="auto"/>
        <w:ind w:right="-164"/>
        <w:jc w:val="both"/>
        <w:rPr>
          <w:rFonts w:ascii="Palatino Linotype" w:hAnsi="Palatino Linotype"/>
        </w:rPr>
      </w:pPr>
      <w:r w:rsidRPr="00A305AC">
        <w:rPr>
          <w:rFonts w:ascii="Palatino Linotype" w:hAnsi="Palatino Linotype"/>
        </w:rPr>
        <w:t xml:space="preserve">Es de destacar, que la suscrita comparte </w:t>
      </w:r>
      <w:r w:rsidR="00A04C79" w:rsidRPr="00A305AC">
        <w:rPr>
          <w:rFonts w:ascii="Palatino Linotype" w:hAnsi="Palatino Linotype"/>
        </w:rPr>
        <w:t xml:space="preserve">esencialmente el estudio realizado en la resolución </w:t>
      </w:r>
      <w:r w:rsidRPr="00A305AC">
        <w:rPr>
          <w:rFonts w:ascii="Palatino Linotype" w:hAnsi="Palatino Linotype"/>
        </w:rPr>
        <w:t>del recurso de revis</w:t>
      </w:r>
      <w:r w:rsidR="00D557C2" w:rsidRPr="00A305AC">
        <w:rPr>
          <w:rFonts w:ascii="Palatino Linotype" w:hAnsi="Palatino Linotype"/>
        </w:rPr>
        <w:t xml:space="preserve">ión; empero, </w:t>
      </w:r>
      <w:r w:rsidR="00E412E0">
        <w:rPr>
          <w:rFonts w:ascii="Palatino Linotype" w:hAnsi="Palatino Linotype"/>
        </w:rPr>
        <w:t>estimo</w:t>
      </w:r>
      <w:r w:rsidRPr="00A305AC">
        <w:rPr>
          <w:rFonts w:ascii="Palatino Linotype" w:hAnsi="Palatino Linotype"/>
        </w:rPr>
        <w:t xml:space="preserve"> necesario precisar algunas consideraciones de hecho y de derecho</w:t>
      </w:r>
      <w:r w:rsidR="00283041">
        <w:rPr>
          <w:rFonts w:ascii="Palatino Linotype" w:hAnsi="Palatino Linotype"/>
        </w:rPr>
        <w:t xml:space="preserve"> respecto al sentido de la resolución y parte de la información que se ordena su entrega.</w:t>
      </w:r>
    </w:p>
    <w:p w14:paraId="5853D40E" w14:textId="77777777" w:rsidR="0007653D" w:rsidRPr="00A305AC" w:rsidRDefault="0007653D" w:rsidP="00AA6536">
      <w:pPr>
        <w:widowControl w:val="0"/>
        <w:spacing w:line="360" w:lineRule="auto"/>
        <w:ind w:right="-164"/>
        <w:jc w:val="both"/>
        <w:rPr>
          <w:rFonts w:ascii="Palatino Linotype" w:hAnsi="Palatino Linotype"/>
        </w:rPr>
      </w:pPr>
    </w:p>
    <w:p w14:paraId="107836A5" w14:textId="48BA489F" w:rsidR="00986DDD" w:rsidRDefault="0007653D" w:rsidP="00AA6536">
      <w:pPr>
        <w:spacing w:line="360" w:lineRule="auto"/>
        <w:ind w:right="-164"/>
        <w:jc w:val="both"/>
        <w:rPr>
          <w:rFonts w:ascii="Palatino Linotype" w:hAnsi="Palatino Linotype" w:cs="Arial"/>
        </w:rPr>
      </w:pPr>
      <w:r w:rsidRPr="00A305AC">
        <w:rPr>
          <w:rFonts w:ascii="Palatino Linotype" w:hAnsi="Palatino Linotype"/>
        </w:rPr>
        <w:lastRenderedPageBreak/>
        <w:t xml:space="preserve">Al respecto, tal y como quedó debidamente asentado en la resolución materia del presente voto, el particular </w:t>
      </w:r>
      <w:r w:rsidR="008C0700" w:rsidRPr="00A305AC">
        <w:rPr>
          <w:rFonts w:ascii="Palatino Linotype" w:hAnsi="Palatino Linotype"/>
        </w:rPr>
        <w:t>requirió de</w:t>
      </w:r>
      <w:r w:rsidR="00283041">
        <w:rPr>
          <w:rFonts w:ascii="Palatino Linotype" w:hAnsi="Palatino Linotype"/>
        </w:rPr>
        <w:t xml:space="preserve"> </w:t>
      </w:r>
      <w:r w:rsidR="008C0700" w:rsidRPr="00A305AC">
        <w:rPr>
          <w:rFonts w:ascii="Palatino Linotype" w:hAnsi="Palatino Linotype"/>
        </w:rPr>
        <w:t>l</w:t>
      </w:r>
      <w:r w:rsidR="00283041">
        <w:rPr>
          <w:rFonts w:ascii="Palatino Linotype" w:hAnsi="Palatino Linotype"/>
        </w:rPr>
        <w:t>a</w:t>
      </w:r>
      <w:r w:rsidR="008C0700" w:rsidRPr="00A305AC">
        <w:rPr>
          <w:rFonts w:ascii="Palatino Linotype" w:hAnsi="Palatino Linotype"/>
        </w:rPr>
        <w:t xml:space="preserve"> </w:t>
      </w:r>
      <w:r w:rsidR="00283041" w:rsidRPr="00283041">
        <w:rPr>
          <w:rFonts w:ascii="Palatino Linotype" w:hAnsi="Palatino Linotype"/>
          <w:b/>
        </w:rPr>
        <w:t>Secretaría Técnica del Gabinete</w:t>
      </w:r>
      <w:r w:rsidR="007A01E2">
        <w:rPr>
          <w:rFonts w:ascii="Palatino Linotype" w:hAnsi="Palatino Linotype"/>
        </w:rPr>
        <w:t xml:space="preserve">, en lo subsecuente </w:t>
      </w:r>
      <w:r w:rsidR="007A01E2">
        <w:rPr>
          <w:rFonts w:ascii="Palatino Linotype" w:hAnsi="Palatino Linotype"/>
          <w:b/>
        </w:rPr>
        <w:t>EL SUJETO</w:t>
      </w:r>
      <w:r w:rsidR="008C0700" w:rsidRPr="00A305AC">
        <w:rPr>
          <w:rFonts w:ascii="Palatino Linotype" w:hAnsi="Palatino Linotype"/>
          <w:b/>
        </w:rPr>
        <w:t xml:space="preserve"> OBLIGADO</w:t>
      </w:r>
      <w:r w:rsidR="001C5D19">
        <w:rPr>
          <w:rFonts w:ascii="Palatino Linotype" w:hAnsi="Palatino Linotype"/>
          <w:b/>
        </w:rPr>
        <w:t>,</w:t>
      </w:r>
      <w:r w:rsidR="008C0700" w:rsidRPr="00A305AC">
        <w:rPr>
          <w:rFonts w:ascii="Palatino Linotype" w:hAnsi="Palatino Linotype"/>
        </w:rPr>
        <w:t xml:space="preserve"> </w:t>
      </w:r>
      <w:r w:rsidR="003102FA" w:rsidRPr="00A305AC">
        <w:rPr>
          <w:rFonts w:ascii="Palatino Linotype" w:hAnsi="Palatino Linotype"/>
        </w:rPr>
        <w:t>vía SAIMEX,</w:t>
      </w:r>
      <w:r w:rsidR="000D66DE" w:rsidRPr="00A305AC">
        <w:rPr>
          <w:rFonts w:ascii="Palatino Linotype" w:hAnsi="Palatino Linotype" w:cs="Arial"/>
        </w:rPr>
        <w:t xml:space="preserve"> </w:t>
      </w:r>
      <w:r w:rsidR="00986DDD" w:rsidRPr="00A305AC">
        <w:rPr>
          <w:rFonts w:ascii="Palatino Linotype" w:hAnsi="Palatino Linotype" w:cs="Arial"/>
        </w:rPr>
        <w:t>esencialmente lo siguiente:</w:t>
      </w:r>
    </w:p>
    <w:p w14:paraId="2212CD90" w14:textId="77777777" w:rsidR="00A305AC" w:rsidRPr="00A305AC" w:rsidRDefault="00A305AC" w:rsidP="00AA6536">
      <w:pPr>
        <w:spacing w:line="360" w:lineRule="auto"/>
        <w:ind w:right="-164"/>
        <w:jc w:val="both"/>
        <w:rPr>
          <w:rFonts w:ascii="Palatino Linotype" w:hAnsi="Palatino Linotype" w:cs="Arial"/>
        </w:rPr>
      </w:pPr>
    </w:p>
    <w:p w14:paraId="22D2C4C0" w14:textId="4C177080" w:rsidR="00283041" w:rsidRDefault="00283041" w:rsidP="00283041">
      <w:pPr>
        <w:pStyle w:val="Prrafodelista"/>
        <w:numPr>
          <w:ilvl w:val="0"/>
          <w:numId w:val="8"/>
        </w:numPr>
        <w:ind w:left="993" w:right="757" w:hanging="284"/>
        <w:jc w:val="both"/>
        <w:rPr>
          <w:rFonts w:ascii="Palatino Linotype" w:hAnsi="Palatino Linotype" w:cs="Arial"/>
          <w:i/>
          <w:sz w:val="22"/>
        </w:rPr>
      </w:pPr>
      <w:r w:rsidRPr="00283041">
        <w:rPr>
          <w:rFonts w:ascii="Palatino Linotype" w:hAnsi="Palatino Linotype" w:cs="Arial"/>
          <w:i/>
          <w:sz w:val="22"/>
        </w:rPr>
        <w:t>Descripción, costo y avance de los compromisos del Gobernador Alfredo del Mazo Maza.</w:t>
      </w:r>
    </w:p>
    <w:p w14:paraId="3A43AC80" w14:textId="77777777" w:rsidR="00283041" w:rsidRPr="00283041" w:rsidRDefault="00283041" w:rsidP="00283041">
      <w:pPr>
        <w:pStyle w:val="Prrafodelista"/>
        <w:ind w:left="993" w:right="757" w:hanging="284"/>
        <w:jc w:val="both"/>
        <w:rPr>
          <w:rFonts w:ascii="Palatino Linotype" w:hAnsi="Palatino Linotype" w:cs="Arial"/>
          <w:i/>
          <w:sz w:val="22"/>
        </w:rPr>
      </w:pPr>
    </w:p>
    <w:p w14:paraId="759AB467" w14:textId="57EFBA81" w:rsidR="00A305AC" w:rsidRPr="00283041" w:rsidRDefault="00283041" w:rsidP="00283041">
      <w:pPr>
        <w:pStyle w:val="Prrafodelista"/>
        <w:numPr>
          <w:ilvl w:val="0"/>
          <w:numId w:val="8"/>
        </w:numPr>
        <w:ind w:left="993" w:right="757" w:hanging="284"/>
        <w:jc w:val="both"/>
        <w:rPr>
          <w:rFonts w:ascii="Palatino Linotype" w:hAnsi="Palatino Linotype" w:cs="Arial"/>
          <w:i/>
          <w:sz w:val="22"/>
        </w:rPr>
      </w:pPr>
      <w:r w:rsidRPr="00283041">
        <w:rPr>
          <w:rFonts w:ascii="Palatino Linotype" w:hAnsi="Palatino Linotype" w:cs="Arial"/>
          <w:i/>
          <w:sz w:val="22"/>
        </w:rPr>
        <w:t>Compromisos del Gobernador Eruviel Ávila Villegas, costo y ante que notarios se dio el cumplimiento de los 6000 (compromiso y notario) compromisos adquiridos en campaña.</w:t>
      </w:r>
    </w:p>
    <w:p w14:paraId="013D35DA" w14:textId="77777777" w:rsidR="00986DDD" w:rsidRPr="00A305AC" w:rsidRDefault="00986DDD" w:rsidP="00AA6536">
      <w:pPr>
        <w:spacing w:line="360" w:lineRule="auto"/>
        <w:ind w:right="-164"/>
        <w:jc w:val="both"/>
        <w:rPr>
          <w:rFonts w:ascii="Palatino Linotype" w:hAnsi="Palatino Linotype" w:cs="Arial"/>
        </w:rPr>
      </w:pPr>
    </w:p>
    <w:p w14:paraId="5B2E07F3" w14:textId="41623E7F" w:rsidR="00EA69DF" w:rsidRDefault="00A305AC" w:rsidP="00AA6536">
      <w:pPr>
        <w:spacing w:line="360" w:lineRule="auto"/>
        <w:ind w:right="-164"/>
        <w:jc w:val="both"/>
        <w:rPr>
          <w:rFonts w:ascii="Palatino Linotype" w:hAnsi="Palatino Linotype" w:cs="Arial"/>
        </w:rPr>
      </w:pPr>
      <w:r w:rsidRPr="00A305AC">
        <w:rPr>
          <w:rFonts w:ascii="Palatino Linotype" w:hAnsi="Palatino Linotype" w:cs="Arial"/>
        </w:rPr>
        <w:t>En respuesta</w:t>
      </w:r>
      <w:r w:rsidR="007A01E2">
        <w:rPr>
          <w:rFonts w:ascii="Palatino Linotype" w:hAnsi="Palatino Linotype" w:cs="Arial"/>
        </w:rPr>
        <w:t>,</w:t>
      </w:r>
      <w:r w:rsidRPr="00A305AC">
        <w:rPr>
          <w:rFonts w:ascii="Palatino Linotype" w:hAnsi="Palatino Linotype" w:cs="Arial"/>
        </w:rPr>
        <w:t xml:space="preserve"> </w:t>
      </w:r>
      <w:r w:rsidRPr="00A305AC">
        <w:rPr>
          <w:rFonts w:ascii="Palatino Linotype" w:hAnsi="Palatino Linotype" w:cs="Arial"/>
          <w:b/>
        </w:rPr>
        <w:t>EL SUJETO OBLIGADO</w:t>
      </w:r>
      <w:r w:rsidRPr="00A305AC">
        <w:rPr>
          <w:rFonts w:ascii="Palatino Linotype" w:hAnsi="Palatino Linotype" w:cs="Arial"/>
        </w:rPr>
        <w:t xml:space="preserve"> </w:t>
      </w:r>
      <w:r w:rsidR="00283041" w:rsidRPr="00283041">
        <w:rPr>
          <w:rFonts w:ascii="Palatino Linotype" w:hAnsi="Palatino Linotype" w:cs="Arial"/>
        </w:rPr>
        <w:t>informó, respecto del primer punto que el Licenciado Alfredo del Mazo Maza, no formalizó compromisos ante notario público durante su campaña electoral, por lo tanto no existe la condición para establecer un seguimiento</w:t>
      </w:r>
      <w:r w:rsidRPr="00A305AC">
        <w:rPr>
          <w:rFonts w:ascii="Palatino Linotype" w:hAnsi="Palatino Linotype" w:cs="Arial"/>
        </w:rPr>
        <w:t>.</w:t>
      </w:r>
    </w:p>
    <w:p w14:paraId="2D80E3C3" w14:textId="77777777" w:rsidR="001C5D19" w:rsidRDefault="001C5D19" w:rsidP="00AA6536">
      <w:pPr>
        <w:spacing w:line="360" w:lineRule="auto"/>
        <w:ind w:right="-164"/>
        <w:jc w:val="both"/>
        <w:rPr>
          <w:rFonts w:ascii="Palatino Linotype" w:hAnsi="Palatino Linotype" w:cs="Arial"/>
        </w:rPr>
      </w:pPr>
    </w:p>
    <w:p w14:paraId="5C02C9FC" w14:textId="181D8A7A" w:rsidR="00E140F9" w:rsidRDefault="007C0FDA" w:rsidP="00AA6536">
      <w:pPr>
        <w:spacing w:line="360" w:lineRule="auto"/>
        <w:ind w:right="-164"/>
        <w:jc w:val="both"/>
        <w:rPr>
          <w:rFonts w:ascii="Palatino Linotype" w:hAnsi="Palatino Linotype" w:cs="Arial"/>
        </w:rPr>
      </w:pPr>
      <w:r w:rsidRPr="00A305AC">
        <w:rPr>
          <w:rFonts w:ascii="Palatino Linotype" w:hAnsi="Palatino Linotype" w:cs="Arial"/>
        </w:rPr>
        <w:t xml:space="preserve">Así, </w:t>
      </w:r>
      <w:r w:rsidR="00B5072E" w:rsidRPr="00A305AC">
        <w:rPr>
          <w:rFonts w:ascii="Palatino Linotype" w:hAnsi="Palatino Linotype" w:cs="Arial"/>
        </w:rPr>
        <w:t>de</w:t>
      </w:r>
      <w:r w:rsidRPr="00A305AC">
        <w:rPr>
          <w:rFonts w:ascii="Palatino Linotype" w:hAnsi="Palatino Linotype" w:cs="Arial"/>
        </w:rPr>
        <w:t xml:space="preserve">l estudio </w:t>
      </w:r>
      <w:r w:rsidR="00E140F9" w:rsidRPr="00A305AC">
        <w:rPr>
          <w:rFonts w:ascii="Palatino Linotype" w:hAnsi="Palatino Linotype" w:cs="Arial"/>
        </w:rPr>
        <w:t>d</w:t>
      </w:r>
      <w:r w:rsidR="00E140F9" w:rsidRPr="00A305AC">
        <w:rPr>
          <w:rFonts w:ascii="Palatino Linotype" w:hAnsi="Palatino Linotype"/>
        </w:rPr>
        <w:t>e</w:t>
      </w:r>
      <w:r w:rsidR="00E140F9">
        <w:rPr>
          <w:rFonts w:ascii="Palatino Linotype" w:hAnsi="Palatino Linotype"/>
        </w:rPr>
        <w:t xml:space="preserve"> </w:t>
      </w:r>
      <w:r w:rsidR="00E140F9" w:rsidRPr="00A305AC">
        <w:rPr>
          <w:rFonts w:ascii="Palatino Linotype" w:hAnsi="Palatino Linotype"/>
        </w:rPr>
        <w:t>l</w:t>
      </w:r>
      <w:r w:rsidR="00E140F9">
        <w:rPr>
          <w:rFonts w:ascii="Palatino Linotype" w:hAnsi="Palatino Linotype"/>
        </w:rPr>
        <w:t>os</w:t>
      </w:r>
      <w:r w:rsidR="00E140F9" w:rsidRPr="00A305AC">
        <w:rPr>
          <w:rFonts w:ascii="Palatino Linotype" w:hAnsi="Palatino Linotype"/>
        </w:rPr>
        <w:t xml:space="preserve"> expedientes electrónicos</w:t>
      </w:r>
      <w:r w:rsidR="00B5072E" w:rsidRPr="00A305AC">
        <w:rPr>
          <w:rFonts w:ascii="Palatino Linotype" w:hAnsi="Palatino Linotype"/>
        </w:rPr>
        <w:t xml:space="preserve"> del </w:t>
      </w:r>
      <w:proofErr w:type="spellStart"/>
      <w:r w:rsidR="00B5072E" w:rsidRPr="00A305AC">
        <w:rPr>
          <w:rFonts w:ascii="Palatino Linotype" w:hAnsi="Palatino Linotype"/>
        </w:rPr>
        <w:t>SAIMEX</w:t>
      </w:r>
      <w:proofErr w:type="spellEnd"/>
      <w:r w:rsidRPr="00A305AC">
        <w:rPr>
          <w:rFonts w:ascii="Palatino Linotype" w:hAnsi="Palatino Linotype" w:cs="Arial"/>
        </w:rPr>
        <w:t xml:space="preserve">, </w:t>
      </w:r>
      <w:r w:rsidR="0007653D" w:rsidRPr="00A305AC">
        <w:rPr>
          <w:rFonts w:ascii="Palatino Linotype" w:hAnsi="Palatino Linotype" w:cs="Arial"/>
        </w:rPr>
        <w:t xml:space="preserve">la Ponencia </w:t>
      </w:r>
      <w:proofErr w:type="spellStart"/>
      <w:r w:rsidR="0007653D" w:rsidRPr="00A305AC">
        <w:rPr>
          <w:rFonts w:ascii="Palatino Linotype" w:hAnsi="Palatino Linotype" w:cs="Arial"/>
        </w:rPr>
        <w:t>Resolut</w:t>
      </w:r>
      <w:r w:rsidR="00414E48" w:rsidRPr="00A305AC">
        <w:rPr>
          <w:rFonts w:ascii="Palatino Linotype" w:hAnsi="Palatino Linotype" w:cs="Arial"/>
        </w:rPr>
        <w:t>o</w:t>
      </w:r>
      <w:r w:rsidR="0007653D" w:rsidRPr="00A305AC">
        <w:rPr>
          <w:rFonts w:ascii="Palatino Linotype" w:hAnsi="Palatino Linotype" w:cs="Arial"/>
        </w:rPr>
        <w:t>ra</w:t>
      </w:r>
      <w:proofErr w:type="spellEnd"/>
      <w:r w:rsidR="0007653D" w:rsidRPr="00A305AC">
        <w:rPr>
          <w:rFonts w:ascii="Palatino Linotype" w:hAnsi="Palatino Linotype" w:cs="Arial"/>
        </w:rPr>
        <w:t xml:space="preserve"> determinó</w:t>
      </w:r>
      <w:r w:rsidRPr="00A305AC">
        <w:rPr>
          <w:rFonts w:ascii="Palatino Linotype" w:hAnsi="Palatino Linotype" w:cs="Arial"/>
        </w:rPr>
        <w:t xml:space="preserve"> </w:t>
      </w:r>
      <w:r w:rsidR="00EA69DF" w:rsidRPr="00A305AC">
        <w:rPr>
          <w:rFonts w:ascii="Palatino Linotype" w:hAnsi="Palatino Linotype" w:cs="Arial"/>
          <w:b/>
        </w:rPr>
        <w:t>REVOCAR</w:t>
      </w:r>
      <w:r w:rsidR="00B5072E" w:rsidRPr="00A305AC">
        <w:rPr>
          <w:rFonts w:ascii="Palatino Linotype" w:hAnsi="Palatino Linotype" w:cs="Arial"/>
        </w:rPr>
        <w:t xml:space="preserve"> la</w:t>
      </w:r>
      <w:r w:rsidR="00E140F9">
        <w:rPr>
          <w:rFonts w:ascii="Palatino Linotype" w:hAnsi="Palatino Linotype" w:cs="Arial"/>
        </w:rPr>
        <w:t>s</w:t>
      </w:r>
      <w:r w:rsidR="00B5072E" w:rsidRPr="00A305AC">
        <w:rPr>
          <w:rFonts w:ascii="Palatino Linotype" w:hAnsi="Palatino Linotype" w:cs="Arial"/>
        </w:rPr>
        <w:t xml:space="preserve"> respuesta</w:t>
      </w:r>
      <w:r w:rsidR="00E140F9">
        <w:rPr>
          <w:rFonts w:ascii="Palatino Linotype" w:hAnsi="Palatino Linotype" w:cs="Arial"/>
        </w:rPr>
        <w:t>s</w:t>
      </w:r>
      <w:r w:rsidR="00B5072E" w:rsidRPr="00A305AC">
        <w:rPr>
          <w:rFonts w:ascii="Palatino Linotype" w:hAnsi="Palatino Linotype" w:cs="Arial"/>
        </w:rPr>
        <w:t xml:space="preserve"> del </w:t>
      </w:r>
      <w:r w:rsidR="00B5072E" w:rsidRPr="00A305AC">
        <w:rPr>
          <w:rFonts w:ascii="Palatino Linotype" w:hAnsi="Palatino Linotype" w:cs="Arial"/>
          <w:b/>
        </w:rPr>
        <w:t xml:space="preserve">SUJETO OBLIGADO </w:t>
      </w:r>
      <w:r w:rsidR="00B5072E" w:rsidRPr="00A305AC">
        <w:rPr>
          <w:rFonts w:ascii="Palatino Linotype" w:hAnsi="Palatino Linotype" w:cs="Arial"/>
        </w:rPr>
        <w:t xml:space="preserve">y ordenar </w:t>
      </w:r>
      <w:r w:rsidR="000D136C" w:rsidRPr="00A305AC">
        <w:rPr>
          <w:rFonts w:ascii="Palatino Linotype" w:hAnsi="Palatino Linotype" w:cs="Arial"/>
        </w:rPr>
        <w:t>la entrega en versión publica de</w:t>
      </w:r>
      <w:r w:rsidR="00EA69DF" w:rsidRPr="00A305AC">
        <w:rPr>
          <w:rFonts w:ascii="Palatino Linotype" w:hAnsi="Palatino Linotype" w:cs="Arial"/>
        </w:rPr>
        <w:t xml:space="preserve"> </w:t>
      </w:r>
      <w:r w:rsidR="00E140F9">
        <w:rPr>
          <w:rFonts w:ascii="Palatino Linotype" w:hAnsi="Palatino Linotype" w:cs="Arial"/>
        </w:rPr>
        <w:t xml:space="preserve">la </w:t>
      </w:r>
      <w:r w:rsidR="001A0DB5">
        <w:rPr>
          <w:rFonts w:ascii="Palatino Linotype" w:hAnsi="Palatino Linotype" w:cs="Arial"/>
        </w:rPr>
        <w:t>información</w:t>
      </w:r>
      <w:r w:rsidR="00E140F9">
        <w:rPr>
          <w:rFonts w:ascii="Palatino Linotype" w:hAnsi="Palatino Linotype" w:cs="Arial"/>
        </w:rPr>
        <w:t xml:space="preserve"> que a continuación se enlista:</w:t>
      </w:r>
    </w:p>
    <w:p w14:paraId="46E81907" w14:textId="77777777" w:rsidR="00E140F9" w:rsidRDefault="00E140F9" w:rsidP="00AA6536">
      <w:pPr>
        <w:spacing w:line="360" w:lineRule="auto"/>
        <w:ind w:right="-164"/>
        <w:jc w:val="both"/>
        <w:rPr>
          <w:rFonts w:ascii="Palatino Linotype" w:hAnsi="Palatino Linotype" w:cs="Arial"/>
        </w:rPr>
      </w:pPr>
    </w:p>
    <w:p w14:paraId="0305F86C" w14:textId="2EB0987C" w:rsidR="00720A20" w:rsidRDefault="00720A20" w:rsidP="00720A20">
      <w:pPr>
        <w:pStyle w:val="Prrafodelista"/>
        <w:numPr>
          <w:ilvl w:val="0"/>
          <w:numId w:val="7"/>
        </w:numPr>
        <w:ind w:left="993" w:right="757" w:hanging="284"/>
        <w:jc w:val="both"/>
        <w:rPr>
          <w:rFonts w:ascii="Palatino Linotype" w:hAnsi="Palatino Linotype" w:cs="Arial"/>
          <w:i/>
          <w:sz w:val="22"/>
        </w:rPr>
      </w:pPr>
      <w:r w:rsidRPr="00720A20">
        <w:rPr>
          <w:rFonts w:ascii="Palatino Linotype" w:hAnsi="Palatino Linotype" w:cs="Arial"/>
          <w:i/>
          <w:sz w:val="22"/>
        </w:rPr>
        <w:t>Descripción, costo, avance de los compromisos del Gobernador Alfredo del Mazo Maza, actualizados al diecinueve de septiembre de dos mil dieciocho.</w:t>
      </w:r>
    </w:p>
    <w:p w14:paraId="33AC4CA4" w14:textId="77777777" w:rsidR="00720A20" w:rsidRPr="00720A20" w:rsidRDefault="00720A20" w:rsidP="00720A20">
      <w:pPr>
        <w:pStyle w:val="Prrafodelista"/>
        <w:ind w:left="993" w:right="757" w:hanging="284"/>
        <w:jc w:val="both"/>
        <w:rPr>
          <w:rFonts w:ascii="Palatino Linotype" w:hAnsi="Palatino Linotype" w:cs="Arial"/>
          <w:i/>
          <w:sz w:val="22"/>
        </w:rPr>
      </w:pPr>
    </w:p>
    <w:p w14:paraId="0F8697F3" w14:textId="431F1E38" w:rsidR="00720A20" w:rsidRDefault="00720A20" w:rsidP="00720A20">
      <w:pPr>
        <w:pStyle w:val="Prrafodelista"/>
        <w:numPr>
          <w:ilvl w:val="0"/>
          <w:numId w:val="7"/>
        </w:numPr>
        <w:ind w:left="993" w:right="757" w:hanging="284"/>
        <w:jc w:val="both"/>
        <w:rPr>
          <w:rFonts w:ascii="Palatino Linotype" w:hAnsi="Palatino Linotype" w:cs="Arial"/>
          <w:i/>
          <w:sz w:val="22"/>
        </w:rPr>
      </w:pPr>
      <w:r w:rsidRPr="00720A20">
        <w:rPr>
          <w:rFonts w:ascii="Palatino Linotype" w:hAnsi="Palatino Linotype" w:cs="Arial"/>
          <w:i/>
          <w:sz w:val="22"/>
        </w:rPr>
        <w:t>Compromisos del Gobernador Eruviel Ávila Villegas, costo y notarios ante los que se formalizó el cumplimiento de los mismos.</w:t>
      </w:r>
    </w:p>
    <w:p w14:paraId="74E9F3C4" w14:textId="77777777" w:rsidR="00B5072E" w:rsidRPr="00A305AC" w:rsidRDefault="00B5072E" w:rsidP="00AA6536">
      <w:pPr>
        <w:widowControl w:val="0"/>
        <w:spacing w:line="360" w:lineRule="auto"/>
        <w:ind w:right="-164"/>
        <w:jc w:val="both"/>
        <w:rPr>
          <w:rFonts w:ascii="Palatino Linotype" w:hAnsi="Palatino Linotype" w:cs="Arial"/>
          <w:b/>
          <w:lang w:val="es-MX"/>
        </w:rPr>
      </w:pPr>
    </w:p>
    <w:p w14:paraId="7CCD4C50" w14:textId="5DE911FF" w:rsidR="000E1B00" w:rsidRDefault="00C766EF" w:rsidP="00AA6536">
      <w:pPr>
        <w:spacing w:line="360" w:lineRule="auto"/>
        <w:ind w:right="-164"/>
        <w:jc w:val="both"/>
        <w:rPr>
          <w:rFonts w:ascii="Palatino Linotype" w:hAnsi="Palatino Linotype"/>
        </w:rPr>
      </w:pPr>
      <w:r w:rsidRPr="00A305AC">
        <w:rPr>
          <w:rFonts w:ascii="Palatino Linotype" w:hAnsi="Palatino Linotype" w:cs="Arial"/>
        </w:rPr>
        <w:lastRenderedPageBreak/>
        <w:t xml:space="preserve">En ese sentido, </w:t>
      </w:r>
      <w:r w:rsidRPr="00A305AC">
        <w:rPr>
          <w:rFonts w:ascii="Palatino Linotype" w:hAnsi="Palatino Linotype"/>
        </w:rPr>
        <w:t>la que suscribe</w:t>
      </w:r>
      <w:r w:rsidRPr="00A305AC">
        <w:rPr>
          <w:rFonts w:ascii="Palatino Linotype" w:hAnsi="Palatino Linotype" w:cs="Arial"/>
        </w:rPr>
        <w:t xml:space="preserve"> reitera, que </w:t>
      </w:r>
      <w:r w:rsidRPr="00A305AC">
        <w:rPr>
          <w:rFonts w:ascii="Palatino Linotype" w:hAnsi="Palatino Linotype"/>
        </w:rPr>
        <w:t xml:space="preserve">si bien </w:t>
      </w:r>
      <w:r w:rsidR="003D3402" w:rsidRPr="00A305AC">
        <w:rPr>
          <w:rFonts w:ascii="Palatino Linotype" w:hAnsi="Palatino Linotype"/>
        </w:rPr>
        <w:t>coincide en términos generales con</w:t>
      </w:r>
      <w:r w:rsidRPr="00A305AC">
        <w:rPr>
          <w:rFonts w:ascii="Palatino Linotype" w:hAnsi="Palatino Linotype"/>
        </w:rPr>
        <w:t xml:space="preserve"> el estudio de la resolución en comento, difiero respecto al hecho de</w:t>
      </w:r>
      <w:r w:rsidR="000D136C" w:rsidRPr="00A305AC">
        <w:rPr>
          <w:rFonts w:ascii="Palatino Linotype" w:hAnsi="Palatino Linotype"/>
        </w:rPr>
        <w:t xml:space="preserve">l sentido de la </w:t>
      </w:r>
      <w:r w:rsidR="001A0DB5">
        <w:rPr>
          <w:rFonts w:ascii="Palatino Linotype" w:hAnsi="Palatino Linotype"/>
        </w:rPr>
        <w:t>resolución del recurso de revisión</w:t>
      </w:r>
      <w:r w:rsidR="00720A20">
        <w:rPr>
          <w:rFonts w:ascii="Palatino Linotype" w:hAnsi="Palatino Linotype"/>
        </w:rPr>
        <w:t>,</w:t>
      </w:r>
      <w:r w:rsidR="001A0DB5">
        <w:rPr>
          <w:rFonts w:ascii="Palatino Linotype" w:hAnsi="Palatino Linotype"/>
        </w:rPr>
        <w:t xml:space="preserve"> </w:t>
      </w:r>
      <w:r w:rsidR="00414E48" w:rsidRPr="00A305AC">
        <w:rPr>
          <w:rFonts w:ascii="Palatino Linotype" w:hAnsi="Palatino Linotype"/>
        </w:rPr>
        <w:t xml:space="preserve">debiendo </w:t>
      </w:r>
      <w:r w:rsidR="003D3402" w:rsidRPr="00A305AC">
        <w:rPr>
          <w:rFonts w:ascii="Palatino Linotype" w:hAnsi="Palatino Linotype"/>
        </w:rPr>
        <w:t>haber sido é</w:t>
      </w:r>
      <w:r w:rsidR="000D136C" w:rsidRPr="00A305AC">
        <w:rPr>
          <w:rFonts w:ascii="Palatino Linotype" w:hAnsi="Palatino Linotype"/>
        </w:rPr>
        <w:t xml:space="preserve">ste un </w:t>
      </w:r>
      <w:r w:rsidR="00EA69DF" w:rsidRPr="00A305AC">
        <w:rPr>
          <w:rFonts w:ascii="Palatino Linotype" w:hAnsi="Palatino Linotype"/>
          <w:b/>
        </w:rPr>
        <w:t>MODIFICA</w:t>
      </w:r>
      <w:r w:rsidR="00414E48" w:rsidRPr="00A305AC">
        <w:rPr>
          <w:rFonts w:ascii="Palatino Linotype" w:hAnsi="Palatino Linotype"/>
        </w:rPr>
        <w:t xml:space="preserve">. </w:t>
      </w:r>
      <w:r w:rsidRPr="00A305AC">
        <w:rPr>
          <w:rFonts w:ascii="Palatino Linotype" w:hAnsi="Palatino Linotype"/>
        </w:rPr>
        <w:t xml:space="preserve">Lo anterior es así, en razón de que, </w:t>
      </w:r>
      <w:r w:rsidR="003D3402" w:rsidRPr="00A305AC">
        <w:rPr>
          <w:rFonts w:ascii="Palatino Linotype" w:hAnsi="Palatino Linotype"/>
        </w:rPr>
        <w:t xml:space="preserve">la Ponencia </w:t>
      </w:r>
      <w:proofErr w:type="spellStart"/>
      <w:r w:rsidR="003D3402" w:rsidRPr="00A305AC">
        <w:rPr>
          <w:rFonts w:ascii="Palatino Linotype" w:hAnsi="Palatino Linotype"/>
        </w:rPr>
        <w:t>Resolutora</w:t>
      </w:r>
      <w:proofErr w:type="spellEnd"/>
      <w:r w:rsidR="003D3402" w:rsidRPr="00A305AC">
        <w:rPr>
          <w:rFonts w:ascii="Palatino Linotype" w:hAnsi="Palatino Linotype"/>
        </w:rPr>
        <w:t xml:space="preserve"> </w:t>
      </w:r>
      <w:r w:rsidR="000E1B00">
        <w:rPr>
          <w:rFonts w:ascii="Palatino Linotype" w:hAnsi="Palatino Linotype"/>
        </w:rPr>
        <w:t>al entrar</w:t>
      </w:r>
      <w:r w:rsidR="001A0DB5">
        <w:rPr>
          <w:rFonts w:ascii="Palatino Linotype" w:hAnsi="Palatino Linotype"/>
        </w:rPr>
        <w:t xml:space="preserve"> al fondo de las manifestaciones vertidas por </w:t>
      </w:r>
      <w:r w:rsidR="001A0DB5">
        <w:rPr>
          <w:rFonts w:ascii="Palatino Linotype" w:hAnsi="Palatino Linotype"/>
          <w:b/>
        </w:rPr>
        <w:t>EL SUJETO OBLIGADO</w:t>
      </w:r>
      <w:r w:rsidR="001A0DB5" w:rsidRPr="001A0DB5">
        <w:rPr>
          <w:rFonts w:ascii="Palatino Linotype" w:hAnsi="Palatino Linotype"/>
        </w:rPr>
        <w:t xml:space="preserve">, </w:t>
      </w:r>
      <w:r w:rsidR="001A0DB5">
        <w:rPr>
          <w:rFonts w:ascii="Palatino Linotype" w:hAnsi="Palatino Linotype"/>
        </w:rPr>
        <w:t xml:space="preserve">en cuanto hace </w:t>
      </w:r>
      <w:r w:rsidR="00720A20">
        <w:rPr>
          <w:rFonts w:ascii="Palatino Linotype" w:hAnsi="Palatino Linotype"/>
        </w:rPr>
        <w:t xml:space="preserve">a </w:t>
      </w:r>
      <w:r w:rsidR="00720A20" w:rsidRPr="00720A20">
        <w:rPr>
          <w:rFonts w:ascii="Palatino Linotype" w:hAnsi="Palatino Linotype"/>
        </w:rPr>
        <w:t xml:space="preserve">compromisos de gobierno del entonces candidato, </w:t>
      </w:r>
      <w:r w:rsidR="001C5D19">
        <w:rPr>
          <w:rFonts w:ascii="Palatino Linotype" w:hAnsi="Palatino Linotype"/>
        </w:rPr>
        <w:t xml:space="preserve">y ahora Gobernador del Estado de México, </w:t>
      </w:r>
      <w:r w:rsidR="00720A20">
        <w:rPr>
          <w:rFonts w:ascii="Palatino Linotype" w:hAnsi="Palatino Linotype"/>
        </w:rPr>
        <w:t xml:space="preserve">éste </w:t>
      </w:r>
      <w:r w:rsidR="00720A20" w:rsidRPr="00720A20">
        <w:rPr>
          <w:rFonts w:ascii="Palatino Linotype" w:hAnsi="Palatino Linotype"/>
        </w:rPr>
        <w:t xml:space="preserve">durante su campaña electoral no formalizó compromisos ante notario público </w:t>
      </w:r>
      <w:r w:rsidR="00720A20">
        <w:rPr>
          <w:rFonts w:ascii="Palatino Linotype" w:hAnsi="Palatino Linotype"/>
        </w:rPr>
        <w:t>por lo tanto n</w:t>
      </w:r>
      <w:r w:rsidR="00720A20" w:rsidRPr="00720A20">
        <w:rPr>
          <w:rFonts w:ascii="Palatino Linotype" w:hAnsi="Palatino Linotype"/>
        </w:rPr>
        <w:t xml:space="preserve">o se realiza el seguimiento y control </w:t>
      </w:r>
      <w:r w:rsidR="00720A20">
        <w:rPr>
          <w:rFonts w:ascii="Palatino Linotype" w:hAnsi="Palatino Linotype"/>
        </w:rPr>
        <w:t>de los mismos; así,</w:t>
      </w:r>
      <w:r w:rsidR="001A0DB5" w:rsidRPr="001A0DB5">
        <w:rPr>
          <w:rFonts w:ascii="Palatino Linotype" w:hAnsi="Palatino Linotype"/>
        </w:rPr>
        <w:t xml:space="preserve"> </w:t>
      </w:r>
      <w:r w:rsidR="000E1B00">
        <w:rPr>
          <w:rFonts w:ascii="Palatino Linotype" w:hAnsi="Palatino Linotype"/>
        </w:rPr>
        <w:t xml:space="preserve">dicho punto fue respondido en sentido negativo </w:t>
      </w:r>
      <w:r w:rsidR="00720A20">
        <w:rPr>
          <w:rFonts w:ascii="Palatino Linotype" w:hAnsi="Palatino Linotype"/>
        </w:rPr>
        <w:t>colmando este rubro de la solicitud.</w:t>
      </w:r>
      <w:r w:rsidR="000E1B00" w:rsidRPr="000E1B00">
        <w:rPr>
          <w:rFonts w:ascii="Palatino Linotype" w:hAnsi="Palatino Linotype"/>
        </w:rPr>
        <w:t xml:space="preserve"> </w:t>
      </w:r>
    </w:p>
    <w:p w14:paraId="6C7866B1" w14:textId="77777777" w:rsidR="000E1B00" w:rsidRDefault="000E1B00" w:rsidP="00AA6536">
      <w:pPr>
        <w:spacing w:line="360" w:lineRule="auto"/>
        <w:ind w:right="-164"/>
        <w:jc w:val="both"/>
        <w:rPr>
          <w:rFonts w:ascii="Palatino Linotype" w:hAnsi="Palatino Linotype"/>
        </w:rPr>
      </w:pPr>
    </w:p>
    <w:p w14:paraId="6A549FA0" w14:textId="7939A407" w:rsidR="000E1B00" w:rsidRDefault="000E1B00" w:rsidP="00AA6536">
      <w:pPr>
        <w:spacing w:line="360" w:lineRule="auto"/>
        <w:ind w:right="-164"/>
        <w:jc w:val="both"/>
        <w:rPr>
          <w:rFonts w:ascii="Palatino Linotype" w:hAnsi="Palatino Linotype"/>
        </w:rPr>
      </w:pPr>
      <w:r w:rsidRPr="000E1B00">
        <w:rPr>
          <w:rFonts w:ascii="Palatino Linotype" w:hAnsi="Palatino Linotype"/>
        </w:rPr>
        <w:t xml:space="preserve">Así, si se considera el hecho negativo, es obvio que éste no puede fácticamente obrar en los archivos del </w:t>
      </w:r>
      <w:r w:rsidRPr="000E1B00">
        <w:rPr>
          <w:rFonts w:ascii="Palatino Linotype" w:hAnsi="Palatino Linotype"/>
          <w:b/>
        </w:rPr>
        <w:t>SUJETO OBLIGADO</w:t>
      </w:r>
      <w:r w:rsidRPr="000E1B00">
        <w:rPr>
          <w:rFonts w:ascii="Palatino Linotype" w:hAnsi="Palatino Linotype"/>
        </w:rPr>
        <w:t>, ya que no puede probarse por ser lógica y materialmente imposible.</w:t>
      </w:r>
    </w:p>
    <w:p w14:paraId="33569B94" w14:textId="77777777" w:rsidR="000E1B00" w:rsidRPr="000E1B00" w:rsidRDefault="000E1B00" w:rsidP="00AA6536">
      <w:pPr>
        <w:spacing w:line="360" w:lineRule="auto"/>
        <w:ind w:right="-164"/>
        <w:jc w:val="both"/>
        <w:rPr>
          <w:rFonts w:ascii="Palatino Linotype" w:hAnsi="Palatino Linotype"/>
        </w:rPr>
      </w:pPr>
    </w:p>
    <w:p w14:paraId="4B7C9A69" w14:textId="77777777" w:rsidR="000E1B00" w:rsidRDefault="000E1B00" w:rsidP="00AA6536">
      <w:pPr>
        <w:spacing w:line="360" w:lineRule="auto"/>
        <w:ind w:right="-164"/>
        <w:jc w:val="both"/>
        <w:rPr>
          <w:rFonts w:ascii="Palatino Linotype" w:hAnsi="Palatino Linotype"/>
        </w:rPr>
      </w:pPr>
      <w:r w:rsidRPr="000E1B00">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1C9B3A22" w14:textId="77777777" w:rsidR="000E1B00" w:rsidRPr="000E1B00" w:rsidRDefault="000E1B00" w:rsidP="00AA6536">
      <w:pPr>
        <w:spacing w:line="360" w:lineRule="auto"/>
        <w:ind w:right="-164"/>
        <w:jc w:val="both"/>
        <w:rPr>
          <w:rFonts w:ascii="Palatino Linotype" w:hAnsi="Palatino Linotype"/>
        </w:rPr>
      </w:pPr>
    </w:p>
    <w:p w14:paraId="063C8D75" w14:textId="5CAB1845" w:rsidR="000E1B00" w:rsidRDefault="001C5D19" w:rsidP="00AA6536">
      <w:pPr>
        <w:spacing w:line="360" w:lineRule="auto"/>
        <w:ind w:right="-164"/>
        <w:jc w:val="both"/>
        <w:rPr>
          <w:rFonts w:ascii="Palatino Linotype" w:hAnsi="Palatino Linotype"/>
        </w:rPr>
      </w:pPr>
      <w:r>
        <w:rPr>
          <w:rFonts w:ascii="Palatino Linotype" w:hAnsi="Palatino Linotype"/>
        </w:rPr>
        <w:t>Por tanto,</w:t>
      </w:r>
      <w:r w:rsidR="000E1B00" w:rsidRPr="000E1B00">
        <w:rPr>
          <w:rFonts w:ascii="Palatino Linotype" w:hAnsi="Palatino Linotype"/>
        </w:rPr>
        <w:t xml:space="preserve"> de conformidad con lo establecido en el artículo </w:t>
      </w:r>
      <w:r w:rsidR="000E1B00">
        <w:rPr>
          <w:rFonts w:ascii="Palatino Linotype" w:hAnsi="Palatino Linotype"/>
        </w:rPr>
        <w:t>12</w:t>
      </w:r>
      <w:r w:rsidR="000E1B00" w:rsidRPr="000E1B00">
        <w:rPr>
          <w:rFonts w:ascii="Palatino Linotype" w:hAnsi="Palatino Linotype"/>
        </w:rPr>
        <w:t xml:space="preserve"> de la Ley de Transparencia y Acceso a la Información Pública del Estado de México y Municipios el Sujeto Obligado sólo proporcionará la información que obra en sus archivos, lo que </w:t>
      </w:r>
      <w:r w:rsidR="000E1B00">
        <w:rPr>
          <w:rFonts w:ascii="Palatino Linotype" w:hAnsi="Palatino Linotype"/>
        </w:rPr>
        <w:t>en interpretación contraria</w:t>
      </w:r>
      <w:r w:rsidR="000E1B00" w:rsidRPr="000E1B00">
        <w:rPr>
          <w:rFonts w:ascii="Palatino Linotype" w:hAnsi="Palatino Linotype"/>
        </w:rPr>
        <w:t xml:space="preserve"> significa que no se está obligado a proporcionar lo que no obre en sus archivos</w:t>
      </w:r>
      <w:r w:rsidR="000E1B00">
        <w:rPr>
          <w:rFonts w:ascii="Palatino Linotype" w:hAnsi="Palatino Linotype"/>
        </w:rPr>
        <w:t>.</w:t>
      </w:r>
    </w:p>
    <w:p w14:paraId="78C5F46C" w14:textId="77777777" w:rsidR="000E1B00" w:rsidRPr="000E1B00" w:rsidRDefault="000E1B00" w:rsidP="00AA6536">
      <w:pPr>
        <w:spacing w:line="360" w:lineRule="auto"/>
        <w:ind w:right="-164"/>
        <w:jc w:val="both"/>
        <w:rPr>
          <w:rFonts w:ascii="Palatino Linotype" w:hAnsi="Palatino Linotype"/>
        </w:rPr>
      </w:pPr>
    </w:p>
    <w:p w14:paraId="5C0B76C7" w14:textId="2C09D9E2" w:rsidR="000E1B00" w:rsidRPr="000E1B00" w:rsidRDefault="000E1B00" w:rsidP="00AA6536">
      <w:pPr>
        <w:spacing w:line="360" w:lineRule="auto"/>
        <w:ind w:right="-164"/>
        <w:jc w:val="both"/>
        <w:rPr>
          <w:rFonts w:ascii="Palatino Linotype" w:hAnsi="Palatino Linotype"/>
        </w:rPr>
      </w:pPr>
      <w:r>
        <w:rPr>
          <w:rFonts w:ascii="Palatino Linotype" w:hAnsi="Palatino Linotype"/>
        </w:rPr>
        <w:lastRenderedPageBreak/>
        <w:t>Entonces, e</w:t>
      </w:r>
      <w:r w:rsidRPr="000E1B00">
        <w:rPr>
          <w:rFonts w:ascii="Palatino Linotype" w:hAnsi="Palatino Linotype"/>
        </w:rPr>
        <w:t>ncontrándonos ante un hecho negativo, destacando entonces que el Pleno de este Orga</w:t>
      </w:r>
      <w:r w:rsidR="00730A81">
        <w:rPr>
          <w:rFonts w:ascii="Palatino Linotype" w:hAnsi="Palatino Linotype"/>
        </w:rPr>
        <w:t>nismo Garante, ha sostenido que</w:t>
      </w:r>
      <w:r w:rsidRPr="000E1B00">
        <w:rPr>
          <w:rFonts w:ascii="Palatino Linotype" w:hAnsi="Palatino Linotype"/>
        </w:rPr>
        <w:t xml:space="preserv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3ED88FC1" w14:textId="77777777" w:rsidR="000E1B00" w:rsidRPr="000E1B00" w:rsidRDefault="000E1B00" w:rsidP="00AA6536">
      <w:pPr>
        <w:spacing w:line="360" w:lineRule="auto"/>
        <w:ind w:right="-164"/>
        <w:jc w:val="both"/>
        <w:rPr>
          <w:rFonts w:ascii="Palatino Linotype" w:hAnsi="Palatino Linotype"/>
        </w:rPr>
      </w:pPr>
    </w:p>
    <w:p w14:paraId="13D3215F" w14:textId="2B6DA1EA" w:rsidR="000E1B00" w:rsidRPr="000E1B00" w:rsidRDefault="000E1B00" w:rsidP="00AA6536">
      <w:pPr>
        <w:ind w:left="709" w:right="757"/>
        <w:jc w:val="both"/>
        <w:rPr>
          <w:rFonts w:ascii="Palatino Linotype" w:hAnsi="Palatino Linotype"/>
          <w:i/>
          <w:sz w:val="22"/>
        </w:rPr>
      </w:pPr>
      <w:r w:rsidRPr="000E1B00">
        <w:rPr>
          <w:rFonts w:ascii="Palatino Linotype" w:hAnsi="Palatino Linotype"/>
          <w:i/>
          <w:sz w:val="22"/>
        </w:rPr>
        <w:t>“</w:t>
      </w:r>
      <w:r w:rsidRPr="000E1B00">
        <w:rPr>
          <w:rFonts w:ascii="Palatino Linotype" w:hAnsi="Palatino Linotype"/>
          <w:b/>
          <w:i/>
          <w:sz w:val="22"/>
        </w:rPr>
        <w:t xml:space="preserve">HECHOS NEGATIVOS, NO SON SUSCEPTIBLES DE </w:t>
      </w:r>
      <w:r w:rsidR="006C0E80" w:rsidRPr="000E1B00">
        <w:rPr>
          <w:rFonts w:ascii="Palatino Linotype" w:hAnsi="Palatino Linotype"/>
          <w:b/>
          <w:i/>
          <w:sz w:val="22"/>
        </w:rPr>
        <w:t>DEMOSTRACIÓN</w:t>
      </w:r>
      <w:r w:rsidRPr="000E1B00">
        <w:rPr>
          <w:rFonts w:ascii="Palatino Linotype" w:hAnsi="Palatino Linotype"/>
          <w:i/>
          <w:sz w:val="22"/>
        </w:rPr>
        <w:t xml:space="preserve">. Tratándose de un hecho negativo, el Juez no tiene </w:t>
      </w:r>
      <w:proofErr w:type="spellStart"/>
      <w:r w:rsidRPr="000E1B00">
        <w:rPr>
          <w:rFonts w:ascii="Palatino Linotype" w:hAnsi="Palatino Linotype"/>
          <w:i/>
          <w:sz w:val="22"/>
        </w:rPr>
        <w:t>por que</w:t>
      </w:r>
      <w:proofErr w:type="spellEnd"/>
      <w:r w:rsidRPr="000E1B00">
        <w:rPr>
          <w:rFonts w:ascii="Palatino Linotype" w:hAnsi="Palatino Linotype"/>
          <w:i/>
          <w:sz w:val="22"/>
        </w:rPr>
        <w:t xml:space="preserve"> invocar prueba alguna de la que se desprenda, ya que es bien sabido que esta clase de hechos no son susceptibles de demostración.</w:t>
      </w:r>
    </w:p>
    <w:p w14:paraId="31E14E28" w14:textId="77777777" w:rsidR="000E1B00" w:rsidRPr="000E1B00" w:rsidRDefault="000E1B00" w:rsidP="00AA6536">
      <w:pPr>
        <w:ind w:left="709" w:right="757"/>
        <w:jc w:val="both"/>
        <w:rPr>
          <w:rFonts w:ascii="Palatino Linotype" w:hAnsi="Palatino Linotype"/>
          <w:i/>
          <w:sz w:val="22"/>
        </w:rPr>
      </w:pPr>
    </w:p>
    <w:p w14:paraId="25B3FD79" w14:textId="77777777" w:rsidR="000E1B00" w:rsidRPr="000E1B00" w:rsidRDefault="000E1B00" w:rsidP="00AA6536">
      <w:pPr>
        <w:ind w:left="709" w:right="757"/>
        <w:jc w:val="both"/>
        <w:rPr>
          <w:rFonts w:ascii="Palatino Linotype" w:hAnsi="Palatino Linotype"/>
        </w:rPr>
      </w:pPr>
      <w:r w:rsidRPr="000E1B00">
        <w:rPr>
          <w:rFonts w:ascii="Palatino Linotype" w:hAnsi="Palatino Linotype"/>
          <w:i/>
          <w:sz w:val="22"/>
        </w:rPr>
        <w:t>Amparo en revisión 2022/61. José García Florín (Menor). 9 de octubre de 1961. Cinco votos. Ponente: José Rivera Pérez Campos.”</w:t>
      </w:r>
    </w:p>
    <w:p w14:paraId="04A20430" w14:textId="0111DAB6" w:rsidR="001A0DB5" w:rsidRDefault="001A0DB5" w:rsidP="00AA6536">
      <w:pPr>
        <w:spacing w:line="360" w:lineRule="auto"/>
        <w:ind w:right="-164"/>
        <w:jc w:val="both"/>
        <w:rPr>
          <w:rFonts w:ascii="Palatino Linotype" w:hAnsi="Palatino Linotype"/>
        </w:rPr>
      </w:pPr>
    </w:p>
    <w:p w14:paraId="34C87D36" w14:textId="0FB1DCBA" w:rsidR="00E27F2A" w:rsidRPr="00A305AC" w:rsidRDefault="00966E59" w:rsidP="00AA6536">
      <w:pPr>
        <w:spacing w:line="360" w:lineRule="auto"/>
        <w:ind w:right="-164"/>
        <w:jc w:val="both"/>
        <w:rPr>
          <w:rFonts w:ascii="Palatino Linotype" w:hAnsi="Palatino Linotype" w:cs="Arial"/>
        </w:rPr>
      </w:pPr>
      <w:r w:rsidRPr="00A305AC">
        <w:rPr>
          <w:rFonts w:ascii="Palatino Linotype" w:hAnsi="Palatino Linotype" w:cs="Arial"/>
        </w:rPr>
        <w:t>En este sentido</w:t>
      </w:r>
      <w:r w:rsidR="003D3402" w:rsidRPr="00A305AC">
        <w:rPr>
          <w:rFonts w:ascii="Palatino Linotype" w:hAnsi="Palatino Linotype" w:cs="Arial"/>
        </w:rPr>
        <w:t>,</w:t>
      </w:r>
      <w:r w:rsidRPr="00A305AC">
        <w:rPr>
          <w:rFonts w:ascii="Palatino Linotype" w:hAnsi="Palatino Linotype" w:cs="Arial"/>
        </w:rPr>
        <w:t xml:space="preserve"> </w:t>
      </w:r>
      <w:r w:rsidR="00E27F2A" w:rsidRPr="00A305AC">
        <w:rPr>
          <w:rFonts w:ascii="Palatino Linotype" w:hAnsi="Palatino Linotype" w:cs="Arial"/>
        </w:rPr>
        <w:t xml:space="preserve">es necesario </w:t>
      </w:r>
      <w:r w:rsidR="00ED34E1" w:rsidRPr="00A305AC">
        <w:rPr>
          <w:rFonts w:ascii="Palatino Linotype" w:hAnsi="Palatino Linotype" w:cs="Arial"/>
        </w:rPr>
        <w:t>establecer</w:t>
      </w:r>
      <w:r w:rsidR="00E27F2A" w:rsidRPr="00A305AC">
        <w:rPr>
          <w:rFonts w:ascii="Palatino Linotype" w:hAnsi="Palatino Linotype" w:cs="Arial"/>
        </w:rPr>
        <w:t xml:space="preserve"> que de conformidad con el artículo 186 de la Ley de Transparencia y Acceso a la Información Pública del Estado de México y Municipios,</w:t>
      </w:r>
      <w:r w:rsidR="00F36414" w:rsidRPr="00A305AC">
        <w:rPr>
          <w:rFonts w:ascii="Palatino Linotype" w:hAnsi="Palatino Linotype" w:cs="Arial"/>
        </w:rPr>
        <w:t xml:space="preserve"> las r</w:t>
      </w:r>
      <w:r w:rsidR="00E27F2A" w:rsidRPr="00A305AC">
        <w:rPr>
          <w:rFonts w:ascii="Palatino Linotype" w:hAnsi="Palatino Linotype" w:cs="Arial"/>
        </w:rPr>
        <w:t>esoluciones emitidas por este Órgano Garante podrán:</w:t>
      </w:r>
    </w:p>
    <w:p w14:paraId="592BAAD7" w14:textId="77777777" w:rsidR="006869DD" w:rsidRPr="00A305AC" w:rsidRDefault="006869DD" w:rsidP="00AA6536">
      <w:pPr>
        <w:spacing w:line="360" w:lineRule="auto"/>
        <w:ind w:right="-164"/>
        <w:jc w:val="both"/>
        <w:rPr>
          <w:rFonts w:ascii="Palatino Linotype" w:hAnsi="Palatino Linotype" w:cs="Arial"/>
        </w:rPr>
      </w:pPr>
    </w:p>
    <w:p w14:paraId="0A783FEF" w14:textId="77777777" w:rsidR="00E27F2A" w:rsidRPr="006C0E80" w:rsidRDefault="00E27F2A" w:rsidP="006C0E80">
      <w:pPr>
        <w:pStyle w:val="Prrafodelista"/>
        <w:numPr>
          <w:ilvl w:val="0"/>
          <w:numId w:val="4"/>
        </w:numPr>
        <w:spacing w:line="360" w:lineRule="auto"/>
        <w:ind w:left="1134" w:right="-164"/>
        <w:jc w:val="both"/>
        <w:rPr>
          <w:rFonts w:ascii="Palatino Linotype" w:hAnsi="Palatino Linotype" w:cs="Arial"/>
        </w:rPr>
      </w:pPr>
      <w:r w:rsidRPr="006C0E80">
        <w:rPr>
          <w:rFonts w:ascii="Palatino Linotype" w:hAnsi="Palatino Linotype" w:cs="Arial"/>
        </w:rPr>
        <w:t xml:space="preserve">Desechar o sobreseer el recurso; </w:t>
      </w:r>
    </w:p>
    <w:p w14:paraId="423979F5" w14:textId="77777777" w:rsidR="00E27F2A" w:rsidRPr="006C0E80" w:rsidRDefault="00E27F2A" w:rsidP="006C0E80">
      <w:pPr>
        <w:pStyle w:val="Prrafodelista"/>
        <w:numPr>
          <w:ilvl w:val="0"/>
          <w:numId w:val="4"/>
        </w:numPr>
        <w:spacing w:line="360" w:lineRule="auto"/>
        <w:ind w:left="1134" w:right="-164"/>
        <w:jc w:val="both"/>
        <w:rPr>
          <w:rFonts w:ascii="Palatino Linotype" w:hAnsi="Palatino Linotype" w:cs="Arial"/>
        </w:rPr>
      </w:pPr>
      <w:r w:rsidRPr="006C0E80">
        <w:rPr>
          <w:rFonts w:ascii="Palatino Linotype" w:hAnsi="Palatino Linotype" w:cs="Arial"/>
        </w:rPr>
        <w:t xml:space="preserve">Confirmar la respuesta del sujeto obligado; </w:t>
      </w:r>
    </w:p>
    <w:p w14:paraId="32088672" w14:textId="77777777" w:rsidR="00E27F2A" w:rsidRPr="006C0E80" w:rsidRDefault="00E27F2A" w:rsidP="006C0E80">
      <w:pPr>
        <w:pStyle w:val="Prrafodelista"/>
        <w:numPr>
          <w:ilvl w:val="0"/>
          <w:numId w:val="4"/>
        </w:numPr>
        <w:spacing w:line="360" w:lineRule="auto"/>
        <w:ind w:left="1134" w:right="-164"/>
        <w:jc w:val="both"/>
        <w:rPr>
          <w:rFonts w:ascii="Palatino Linotype" w:hAnsi="Palatino Linotype" w:cs="Arial"/>
          <w:b/>
          <w:u w:val="single"/>
        </w:rPr>
      </w:pPr>
      <w:r w:rsidRPr="006C0E80">
        <w:rPr>
          <w:rFonts w:ascii="Palatino Linotype" w:hAnsi="Palatino Linotype" w:cs="Arial"/>
          <w:b/>
          <w:u w:val="single"/>
        </w:rPr>
        <w:t xml:space="preserve">Revocar o modificar la respuesta del sujeto obligado; y </w:t>
      </w:r>
    </w:p>
    <w:p w14:paraId="0C1A801C" w14:textId="77777777" w:rsidR="00E27F2A" w:rsidRPr="006C0E80" w:rsidRDefault="00E27F2A" w:rsidP="006C0E80">
      <w:pPr>
        <w:pStyle w:val="Prrafodelista"/>
        <w:numPr>
          <w:ilvl w:val="0"/>
          <w:numId w:val="4"/>
        </w:numPr>
        <w:spacing w:line="360" w:lineRule="auto"/>
        <w:ind w:left="1134" w:right="-164"/>
        <w:jc w:val="both"/>
        <w:rPr>
          <w:rFonts w:ascii="Palatino Linotype" w:hAnsi="Palatino Linotype" w:cs="Arial"/>
        </w:rPr>
      </w:pPr>
      <w:r w:rsidRPr="006C0E80">
        <w:rPr>
          <w:rFonts w:ascii="Palatino Linotype" w:hAnsi="Palatino Linotype" w:cs="Arial"/>
        </w:rPr>
        <w:t>Ordenar la entrega de la información.</w:t>
      </w:r>
    </w:p>
    <w:p w14:paraId="0CC67C04" w14:textId="77777777" w:rsidR="00E27F2A" w:rsidRPr="00A305AC" w:rsidRDefault="00E27F2A" w:rsidP="00AA6536">
      <w:pPr>
        <w:pStyle w:val="Prrafodelista"/>
        <w:spacing w:line="360" w:lineRule="auto"/>
        <w:ind w:left="0" w:right="-164"/>
        <w:jc w:val="both"/>
        <w:rPr>
          <w:rFonts w:ascii="Palatino Linotype" w:hAnsi="Palatino Linotype" w:cs="Arial"/>
        </w:rPr>
      </w:pPr>
    </w:p>
    <w:p w14:paraId="6FB16A97" w14:textId="6A10293D" w:rsidR="00E27F2A" w:rsidRPr="00A305AC" w:rsidRDefault="00E27F2A" w:rsidP="00AA6536">
      <w:pPr>
        <w:spacing w:line="360" w:lineRule="auto"/>
        <w:ind w:right="-164"/>
        <w:jc w:val="both"/>
        <w:rPr>
          <w:rFonts w:ascii="Palatino Linotype" w:hAnsi="Palatino Linotype" w:cs="Arial"/>
        </w:rPr>
      </w:pPr>
      <w:r w:rsidRPr="00A305AC">
        <w:rPr>
          <w:rFonts w:ascii="Palatino Linotype" w:hAnsi="Palatino Linotype" w:cs="Arial"/>
        </w:rPr>
        <w:t xml:space="preserve">En el caso particular de la fracción III y en relación a dichos sentidos, se procede a </w:t>
      </w:r>
      <w:r w:rsidRPr="00A305AC">
        <w:rPr>
          <w:rFonts w:ascii="Palatino Linotype" w:hAnsi="Palatino Linotype" w:cs="Arial"/>
          <w:b/>
        </w:rPr>
        <w:t>REVOCAR</w:t>
      </w:r>
      <w:r w:rsidRPr="00A305AC">
        <w:rPr>
          <w:rFonts w:ascii="Palatino Linotype" w:hAnsi="Palatino Linotype" w:cs="Arial"/>
        </w:rPr>
        <w:t xml:space="preserve"> la respuesta de los Sujetos Obligados, cuando ésta no satisfaga en su totalidad la información requerida por los particulares; mientras que</w:t>
      </w:r>
      <w:r w:rsidR="00F36414" w:rsidRPr="00A305AC">
        <w:rPr>
          <w:rFonts w:ascii="Palatino Linotype" w:hAnsi="Palatino Linotype" w:cs="Arial"/>
        </w:rPr>
        <w:t>,</w:t>
      </w:r>
      <w:r w:rsidRPr="00A305AC">
        <w:rPr>
          <w:rFonts w:ascii="Palatino Linotype" w:hAnsi="Palatino Linotype" w:cs="Arial"/>
        </w:rPr>
        <w:t xml:space="preserve"> se procede a </w:t>
      </w:r>
      <w:r w:rsidRPr="00A305AC">
        <w:rPr>
          <w:rFonts w:ascii="Palatino Linotype" w:hAnsi="Palatino Linotype" w:cs="Arial"/>
          <w:b/>
        </w:rPr>
        <w:lastRenderedPageBreak/>
        <w:t>MODIFICAR</w:t>
      </w:r>
      <w:r w:rsidR="00F36414" w:rsidRPr="00A305AC">
        <w:rPr>
          <w:rFonts w:ascii="Palatino Linotype" w:hAnsi="Palatino Linotype" w:cs="Arial"/>
        </w:rPr>
        <w:t xml:space="preserve"> la misma</w:t>
      </w:r>
      <w:r w:rsidRPr="00A305AC">
        <w:rPr>
          <w:rFonts w:ascii="Palatino Linotype" w:hAnsi="Palatino Linotype" w:cs="Arial"/>
        </w:rPr>
        <w:t xml:space="preserve"> en aquellos casos en que se colme parcialmente la solicitud de información, por mínima que pudiera resultar ésta.</w:t>
      </w:r>
    </w:p>
    <w:p w14:paraId="04531A72" w14:textId="77777777" w:rsidR="00E27F2A" w:rsidRPr="00A305AC" w:rsidRDefault="00E27F2A" w:rsidP="00AA6536">
      <w:pPr>
        <w:spacing w:line="360" w:lineRule="auto"/>
        <w:ind w:right="-164"/>
        <w:jc w:val="both"/>
        <w:rPr>
          <w:rFonts w:ascii="Palatino Linotype" w:hAnsi="Palatino Linotype" w:cs="Arial"/>
        </w:rPr>
      </w:pPr>
    </w:p>
    <w:p w14:paraId="032A36FF" w14:textId="1C72BCB6" w:rsidR="00E27F2A" w:rsidRPr="00A305AC" w:rsidRDefault="00E27F2A" w:rsidP="00AA6536">
      <w:pPr>
        <w:spacing w:line="360" w:lineRule="auto"/>
        <w:ind w:right="-164"/>
        <w:jc w:val="both"/>
        <w:rPr>
          <w:rFonts w:ascii="Palatino Linotype" w:hAnsi="Palatino Linotype" w:cs="Arial"/>
          <w:b/>
        </w:rPr>
      </w:pPr>
      <w:r w:rsidRPr="00A305AC">
        <w:rPr>
          <w:rFonts w:ascii="Palatino Linotype" w:hAnsi="Palatino Linotype" w:cs="Arial"/>
        </w:rPr>
        <w:t xml:space="preserve">Así, en el presente caso, </w:t>
      </w:r>
      <w:r w:rsidR="00F55270">
        <w:rPr>
          <w:rFonts w:ascii="Palatino Linotype" w:hAnsi="Palatino Linotype" w:cs="Arial"/>
        </w:rPr>
        <w:t>conforme al sentido determinado</w:t>
      </w:r>
      <w:r w:rsidRPr="00A305AC">
        <w:rPr>
          <w:rFonts w:ascii="Palatino Linotype" w:hAnsi="Palatino Linotype" w:cs="Arial"/>
        </w:rPr>
        <w:t xml:space="preserve"> por la Ponencia </w:t>
      </w:r>
      <w:proofErr w:type="spellStart"/>
      <w:r w:rsidRPr="00A305AC">
        <w:rPr>
          <w:rFonts w:ascii="Palatino Linotype" w:hAnsi="Palatino Linotype" w:cs="Arial"/>
        </w:rPr>
        <w:t>Resolutora</w:t>
      </w:r>
      <w:proofErr w:type="spellEnd"/>
      <w:r w:rsidRPr="00A305AC">
        <w:rPr>
          <w:rFonts w:ascii="Palatino Linotype" w:hAnsi="Palatino Linotype" w:cs="Arial"/>
        </w:rPr>
        <w:t xml:space="preserve"> se precisa que </w:t>
      </w:r>
      <w:r w:rsidRPr="00A305AC">
        <w:rPr>
          <w:rFonts w:ascii="Palatino Linotype" w:hAnsi="Palatino Linotype" w:cs="Arial"/>
          <w:b/>
        </w:rPr>
        <w:t>EL SUJETO OBLIGADO</w:t>
      </w:r>
      <w:r w:rsidR="00700292" w:rsidRPr="00A305AC">
        <w:rPr>
          <w:rFonts w:ascii="Palatino Linotype" w:hAnsi="Palatino Linotype" w:cs="Arial"/>
        </w:rPr>
        <w:t xml:space="preserve"> en la </w:t>
      </w:r>
      <w:r w:rsidR="006869DD" w:rsidRPr="00A305AC">
        <w:rPr>
          <w:rFonts w:ascii="Palatino Linotype" w:hAnsi="Palatino Linotype" w:cs="Arial"/>
        </w:rPr>
        <w:t>respuesta proporcionó documentos e información</w:t>
      </w:r>
      <w:r w:rsidR="001317F7" w:rsidRPr="00A305AC">
        <w:rPr>
          <w:rFonts w:ascii="Palatino Linotype" w:hAnsi="Palatino Linotype" w:cs="Arial"/>
        </w:rPr>
        <w:t xml:space="preserve"> que</w:t>
      </w:r>
      <w:r w:rsidR="00F55270">
        <w:rPr>
          <w:rFonts w:ascii="Palatino Linotype" w:hAnsi="Palatino Linotype" w:cs="Arial"/>
        </w:rPr>
        <w:t xml:space="preserve"> no satisficieron </w:t>
      </w:r>
      <w:r w:rsidRPr="00A305AC">
        <w:rPr>
          <w:rFonts w:ascii="Palatino Linotype" w:hAnsi="Palatino Linotype" w:cs="Arial"/>
        </w:rPr>
        <w:t>ni total ni parcial</w:t>
      </w:r>
      <w:r w:rsidR="006869DD" w:rsidRPr="00A305AC">
        <w:rPr>
          <w:rFonts w:ascii="Palatino Linotype" w:hAnsi="Palatino Linotype" w:cs="Arial"/>
        </w:rPr>
        <w:t xml:space="preserve">mente la información requerida, lo que </w:t>
      </w:r>
      <w:r w:rsidR="001C5D19">
        <w:rPr>
          <w:rFonts w:ascii="Palatino Linotype" w:hAnsi="Palatino Linotype" w:cs="Arial"/>
        </w:rPr>
        <w:t>no se comparte</w:t>
      </w:r>
      <w:r w:rsidR="006869DD" w:rsidRPr="00A305AC">
        <w:rPr>
          <w:rFonts w:ascii="Palatino Linotype" w:hAnsi="Palatino Linotype" w:cs="Arial"/>
        </w:rPr>
        <w:t xml:space="preserve">, toda vez que </w:t>
      </w:r>
      <w:r w:rsidR="001317F7" w:rsidRPr="00A305AC">
        <w:rPr>
          <w:rFonts w:ascii="Palatino Linotype" w:hAnsi="Palatino Linotype" w:cs="Arial"/>
          <w:b/>
        </w:rPr>
        <w:t>EL SUJETO OBLIGADO</w:t>
      </w:r>
      <w:r w:rsidR="001317F7" w:rsidRPr="00A305AC">
        <w:rPr>
          <w:rFonts w:ascii="Palatino Linotype" w:hAnsi="Palatino Linotype" w:cs="Arial"/>
        </w:rPr>
        <w:t xml:space="preserve"> </w:t>
      </w:r>
      <w:r w:rsidR="006869DD" w:rsidRPr="00A305AC">
        <w:rPr>
          <w:rFonts w:ascii="Palatino Linotype" w:hAnsi="Palatino Linotype" w:cs="Arial"/>
        </w:rPr>
        <w:t xml:space="preserve">colmó </w:t>
      </w:r>
      <w:r w:rsidR="006C0E80">
        <w:rPr>
          <w:rFonts w:ascii="Palatino Linotype" w:hAnsi="Palatino Linotype" w:cs="Arial"/>
        </w:rPr>
        <w:t xml:space="preserve">algunos </w:t>
      </w:r>
      <w:r w:rsidR="006869DD" w:rsidRPr="00A305AC">
        <w:rPr>
          <w:rFonts w:ascii="Palatino Linotype" w:hAnsi="Palatino Linotype" w:cs="Arial"/>
        </w:rPr>
        <w:t>rubro</w:t>
      </w:r>
      <w:r w:rsidR="00F55270">
        <w:rPr>
          <w:rFonts w:ascii="Palatino Linotype" w:hAnsi="Palatino Linotype" w:cs="Arial"/>
        </w:rPr>
        <w:t>s</w:t>
      </w:r>
      <w:r w:rsidR="006869DD" w:rsidRPr="00A305AC">
        <w:rPr>
          <w:rFonts w:ascii="Palatino Linotype" w:hAnsi="Palatino Linotype" w:cs="Arial"/>
        </w:rPr>
        <w:t xml:space="preserve"> de la solicitud del particular</w:t>
      </w:r>
      <w:r w:rsidRPr="00A305AC">
        <w:rPr>
          <w:rFonts w:ascii="Palatino Linotype" w:hAnsi="Palatino Linotype" w:cs="Arial"/>
        </w:rPr>
        <w:t xml:space="preserve">, </w:t>
      </w:r>
      <w:r w:rsidR="001317F7" w:rsidRPr="00A305AC">
        <w:rPr>
          <w:rFonts w:ascii="Palatino Linotype" w:hAnsi="Palatino Linotype" w:cs="Arial"/>
        </w:rPr>
        <w:t xml:space="preserve">es decir, lo concerniente </w:t>
      </w:r>
      <w:r w:rsidR="007A01E2">
        <w:rPr>
          <w:rFonts w:ascii="Palatino Linotype" w:hAnsi="Palatino Linotype" w:cs="Arial"/>
        </w:rPr>
        <w:t>al</w:t>
      </w:r>
      <w:r w:rsidR="00DF0625">
        <w:rPr>
          <w:rFonts w:ascii="Palatino Linotype" w:hAnsi="Palatino Linotype" w:cs="Arial"/>
        </w:rPr>
        <w:t xml:space="preserve"> seguimiento de los compromisos de campaña de actual Titular de Ejecutivo del Estado</w:t>
      </w:r>
      <w:r w:rsidR="00F36414" w:rsidRPr="00A305AC">
        <w:rPr>
          <w:rFonts w:ascii="Palatino Linotype" w:hAnsi="Palatino Linotype" w:cs="Arial"/>
        </w:rPr>
        <w:t>;</w:t>
      </w:r>
      <w:r w:rsidR="001317F7" w:rsidRPr="00A305AC">
        <w:rPr>
          <w:rFonts w:ascii="Palatino Linotype" w:hAnsi="Palatino Linotype" w:cs="Arial"/>
        </w:rPr>
        <w:t xml:space="preserve"> </w:t>
      </w:r>
      <w:r w:rsidR="00F36414" w:rsidRPr="00A305AC">
        <w:rPr>
          <w:rFonts w:ascii="Palatino Linotype" w:hAnsi="Palatino Linotype" w:cs="Arial"/>
        </w:rPr>
        <w:t>por lo tanto, para la suscrita</w:t>
      </w:r>
      <w:r w:rsidRPr="00A305AC">
        <w:rPr>
          <w:rFonts w:ascii="Palatino Linotype" w:hAnsi="Palatino Linotype" w:cs="Arial"/>
        </w:rPr>
        <w:t xml:space="preserve"> lo conducente era </w:t>
      </w:r>
      <w:r w:rsidR="001317F7" w:rsidRPr="00A305AC">
        <w:rPr>
          <w:rFonts w:ascii="Palatino Linotype" w:hAnsi="Palatino Linotype" w:cs="Arial"/>
          <w:b/>
        </w:rPr>
        <w:t>MODIFICAR</w:t>
      </w:r>
      <w:r w:rsidRPr="00A305AC">
        <w:rPr>
          <w:rFonts w:ascii="Palatino Linotype" w:hAnsi="Palatino Linotype" w:cs="Arial"/>
        </w:rPr>
        <w:t xml:space="preserve"> la respuesta del </w:t>
      </w:r>
      <w:r w:rsidRPr="00A305AC">
        <w:rPr>
          <w:rFonts w:ascii="Palatino Linotype" w:hAnsi="Palatino Linotype" w:cs="Arial"/>
          <w:b/>
        </w:rPr>
        <w:t>SUJETO OBLIGADO</w:t>
      </w:r>
      <w:r w:rsidR="001317F7" w:rsidRPr="00A305AC">
        <w:rPr>
          <w:rFonts w:ascii="Palatino Linotype" w:hAnsi="Palatino Linotype" w:cs="Arial"/>
          <w:b/>
        </w:rPr>
        <w:t xml:space="preserve">, </w:t>
      </w:r>
      <w:r w:rsidR="001317F7" w:rsidRPr="00A305AC">
        <w:rPr>
          <w:rFonts w:ascii="Palatino Linotype" w:hAnsi="Palatino Linotype" w:cs="Arial"/>
        </w:rPr>
        <w:t xml:space="preserve">pues se insiste que, toda vez que la respuesta colma de manera parcial la solicitud de información pública, </w:t>
      </w:r>
      <w:r w:rsidR="001C5D19">
        <w:rPr>
          <w:rFonts w:ascii="Palatino Linotype" w:hAnsi="Palatino Linotype" w:cs="Arial"/>
        </w:rPr>
        <w:t>por lo que solo era necesario</w:t>
      </w:r>
      <w:r w:rsidR="001317F7" w:rsidRPr="00A305AC">
        <w:rPr>
          <w:rFonts w:ascii="Palatino Linotype" w:hAnsi="Palatino Linotype" w:cs="Arial"/>
        </w:rPr>
        <w:t xml:space="preserve"> ordenar la entrega de la información faltante.</w:t>
      </w:r>
      <w:r w:rsidR="001317F7" w:rsidRPr="00A305AC">
        <w:rPr>
          <w:rFonts w:ascii="Palatino Linotype" w:hAnsi="Palatino Linotype" w:cs="Arial"/>
          <w:b/>
        </w:rPr>
        <w:t xml:space="preserve"> </w:t>
      </w:r>
    </w:p>
    <w:p w14:paraId="104E1555" w14:textId="77777777" w:rsidR="00E27F2A" w:rsidRDefault="00E27F2A" w:rsidP="00AA6536">
      <w:pPr>
        <w:spacing w:line="360" w:lineRule="auto"/>
        <w:ind w:right="-164"/>
        <w:jc w:val="both"/>
        <w:rPr>
          <w:rFonts w:ascii="Palatino Linotype" w:hAnsi="Palatino Linotype" w:cs="Arial"/>
          <w:b/>
        </w:rPr>
      </w:pPr>
    </w:p>
    <w:p w14:paraId="4EF1EA2B" w14:textId="37669F8C" w:rsidR="00F506FE" w:rsidRPr="00472A5B" w:rsidRDefault="00171012" w:rsidP="00DF0625">
      <w:pPr>
        <w:spacing w:line="360" w:lineRule="auto"/>
        <w:ind w:right="-164"/>
        <w:jc w:val="both"/>
        <w:rPr>
          <w:rFonts w:ascii="Palatino Linotype" w:hAnsi="Palatino Linotype" w:cs="Arial"/>
          <w:b/>
        </w:rPr>
      </w:pPr>
      <w:r w:rsidRPr="00171012">
        <w:rPr>
          <w:rFonts w:ascii="Palatino Linotype" w:hAnsi="Palatino Linotype" w:cs="Arial"/>
        </w:rPr>
        <w:t xml:space="preserve">Ahora bien, </w:t>
      </w:r>
      <w:r>
        <w:rPr>
          <w:rFonts w:ascii="Palatino Linotype" w:hAnsi="Palatino Linotype" w:cs="Arial"/>
        </w:rPr>
        <w:t xml:space="preserve">en cuanto hace a la información que se ordena, contemplada en </w:t>
      </w:r>
      <w:r w:rsidR="00DF0625">
        <w:rPr>
          <w:rFonts w:ascii="Palatino Linotype" w:hAnsi="Palatino Linotype" w:cs="Arial"/>
        </w:rPr>
        <w:t>el</w:t>
      </w:r>
      <w:r>
        <w:rPr>
          <w:rFonts w:ascii="Palatino Linotype" w:hAnsi="Palatino Linotype" w:cs="Arial"/>
        </w:rPr>
        <w:t xml:space="preserve"> numeral 2 del resolutivo SEGUNDO, </w:t>
      </w:r>
      <w:r w:rsidR="00F506FE">
        <w:rPr>
          <w:rFonts w:ascii="Palatino Linotype" w:hAnsi="Palatino Linotype" w:cs="Arial"/>
        </w:rPr>
        <w:t xml:space="preserve">se considera que </w:t>
      </w:r>
      <w:r w:rsidR="00DF0625">
        <w:rPr>
          <w:rFonts w:ascii="Palatino Linotype" w:hAnsi="Palatino Linotype" w:cs="Arial"/>
        </w:rPr>
        <w:t>ésta no debió ordenarse en virtu</w:t>
      </w:r>
      <w:r w:rsidR="00472A5B">
        <w:rPr>
          <w:rFonts w:ascii="Palatino Linotype" w:hAnsi="Palatino Linotype" w:cs="Arial"/>
        </w:rPr>
        <w:t>d</w:t>
      </w:r>
      <w:r w:rsidR="00DF0625">
        <w:rPr>
          <w:rFonts w:ascii="Palatino Linotype" w:hAnsi="Palatino Linotype" w:cs="Arial"/>
        </w:rPr>
        <w:t xml:space="preserve"> de que, como fue establecido por la propia Ponencia </w:t>
      </w:r>
      <w:proofErr w:type="spellStart"/>
      <w:r w:rsidR="00DF0625">
        <w:rPr>
          <w:rFonts w:ascii="Palatino Linotype" w:hAnsi="Palatino Linotype" w:cs="Arial"/>
        </w:rPr>
        <w:t>Resolutora</w:t>
      </w:r>
      <w:proofErr w:type="spellEnd"/>
      <w:r w:rsidR="00DF0625">
        <w:rPr>
          <w:rFonts w:ascii="Palatino Linotype" w:hAnsi="Palatino Linotype" w:cs="Arial"/>
        </w:rPr>
        <w:t xml:space="preserve">, </w:t>
      </w:r>
      <w:r w:rsidR="00DF0625">
        <w:rPr>
          <w:rFonts w:ascii="Palatino Linotype" w:hAnsi="Palatino Linotype" w:cs="Arial"/>
          <w:b/>
        </w:rPr>
        <w:t xml:space="preserve">EL SUJETO OBLIGADO </w:t>
      </w:r>
      <w:r w:rsidR="00DF0625" w:rsidRPr="00472A5B">
        <w:rPr>
          <w:rFonts w:ascii="Palatino Linotype" w:hAnsi="Palatino Linotype" w:cs="Arial"/>
        </w:rPr>
        <w:t>si bien realiza el seguimiento a los compromisos de gobierno que el</w:t>
      </w:r>
      <w:r w:rsidR="00472A5B" w:rsidRPr="00472A5B">
        <w:rPr>
          <w:rFonts w:ascii="Palatino Linotype" w:hAnsi="Palatino Linotype" w:cs="Arial"/>
        </w:rPr>
        <w:t xml:space="preserve"> Gobernador en ejercicio de sus funciones y atribuciones asuma con sus gobernados y de los que se podrá obtener la información al grado de desagregación que requiere el particular; </w:t>
      </w:r>
      <w:r w:rsidR="00472A5B">
        <w:rPr>
          <w:rFonts w:ascii="Palatino Linotype" w:hAnsi="Palatino Linotype" w:cs="Arial"/>
        </w:rPr>
        <w:t>lo cierto es</w:t>
      </w:r>
      <w:r w:rsidR="00472A5B" w:rsidRPr="00472A5B">
        <w:rPr>
          <w:rFonts w:ascii="Palatino Linotype" w:hAnsi="Palatino Linotype" w:cs="Arial"/>
        </w:rPr>
        <w:t xml:space="preserve"> que</w:t>
      </w:r>
      <w:r w:rsidR="001C5D19">
        <w:rPr>
          <w:rFonts w:ascii="Palatino Linotype" w:hAnsi="Palatino Linotype" w:cs="Arial"/>
        </w:rPr>
        <w:t>,</w:t>
      </w:r>
      <w:r w:rsidR="00472A5B" w:rsidRPr="00472A5B">
        <w:rPr>
          <w:rFonts w:ascii="Palatino Linotype" w:hAnsi="Palatino Linotype" w:cs="Arial"/>
        </w:rPr>
        <w:t xml:space="preserve"> la información que se ordena es la concerniente a aquellos compromisos </w:t>
      </w:r>
      <w:r w:rsidR="00472A5B">
        <w:rPr>
          <w:rFonts w:ascii="Palatino Linotype" w:hAnsi="Palatino Linotype" w:cs="Arial"/>
        </w:rPr>
        <w:t xml:space="preserve">asumidos por el entonces candidato por lo que no recae en los supuestos que actualizan la fuente obligacional que constriña al </w:t>
      </w:r>
      <w:r w:rsidR="00472A5B">
        <w:rPr>
          <w:rFonts w:ascii="Palatino Linotype" w:hAnsi="Palatino Linotype" w:cs="Arial"/>
          <w:b/>
        </w:rPr>
        <w:t xml:space="preserve">SUJETO OBLIGADO </w:t>
      </w:r>
      <w:r w:rsidR="00472A5B" w:rsidRPr="00472A5B">
        <w:rPr>
          <w:rFonts w:ascii="Palatino Linotype" w:hAnsi="Palatino Linotype" w:cs="Arial"/>
        </w:rPr>
        <w:t>a contar con la información</w:t>
      </w:r>
      <w:r w:rsidR="00472A5B">
        <w:rPr>
          <w:rFonts w:ascii="Palatino Linotype" w:hAnsi="Palatino Linotype" w:cs="Arial"/>
          <w:b/>
        </w:rPr>
        <w:t>.</w:t>
      </w:r>
    </w:p>
    <w:p w14:paraId="7A2B72D8" w14:textId="77777777" w:rsidR="00012267" w:rsidRDefault="00012267" w:rsidP="00012267">
      <w:pPr>
        <w:spacing w:line="360" w:lineRule="auto"/>
        <w:jc w:val="both"/>
        <w:rPr>
          <w:rFonts w:ascii="Palatino Linotype" w:hAnsi="Palatino Linotype" w:cs="Arial"/>
        </w:rPr>
      </w:pPr>
      <w:r>
        <w:rPr>
          <w:rFonts w:ascii="Palatino Linotype" w:hAnsi="Palatino Linotype" w:cs="Arial"/>
        </w:rPr>
        <w:lastRenderedPageBreak/>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EB7480" w:rsidRPr="00A305AC" w14:paraId="2B315DB7" w14:textId="77777777" w:rsidTr="00EB7480">
        <w:trPr>
          <w:jc w:val="center"/>
        </w:trPr>
        <w:tc>
          <w:tcPr>
            <w:tcW w:w="4393" w:type="dxa"/>
          </w:tcPr>
          <w:p w14:paraId="55E6491E" w14:textId="77777777" w:rsidR="005B773B" w:rsidRDefault="005B773B" w:rsidP="00AA6536">
            <w:pPr>
              <w:spacing w:line="360" w:lineRule="auto"/>
              <w:ind w:right="-164"/>
              <w:jc w:val="center"/>
              <w:rPr>
                <w:rFonts w:ascii="Palatino Linotype" w:hAnsi="Palatino Linotype"/>
                <w:b/>
              </w:rPr>
            </w:pPr>
          </w:p>
          <w:p w14:paraId="04DF053B" w14:textId="77777777" w:rsidR="006C0E80" w:rsidRDefault="006C0E80" w:rsidP="00AA6536">
            <w:pPr>
              <w:spacing w:line="360" w:lineRule="auto"/>
              <w:ind w:right="-164"/>
              <w:jc w:val="center"/>
              <w:rPr>
                <w:rFonts w:ascii="Palatino Linotype" w:hAnsi="Palatino Linotype"/>
                <w:b/>
              </w:rPr>
            </w:pPr>
          </w:p>
          <w:p w14:paraId="459F57DD" w14:textId="77777777" w:rsidR="00472A5B" w:rsidRDefault="00472A5B" w:rsidP="00AA6536">
            <w:pPr>
              <w:spacing w:line="360" w:lineRule="auto"/>
              <w:ind w:right="-164"/>
              <w:jc w:val="center"/>
              <w:rPr>
                <w:rFonts w:ascii="Palatino Linotype" w:hAnsi="Palatino Linotype"/>
                <w:b/>
              </w:rPr>
            </w:pPr>
          </w:p>
          <w:p w14:paraId="0CFA9D9E" w14:textId="77777777" w:rsidR="00472A5B" w:rsidRDefault="00472A5B" w:rsidP="00AA6536">
            <w:pPr>
              <w:spacing w:line="360" w:lineRule="auto"/>
              <w:ind w:right="-164"/>
              <w:jc w:val="center"/>
              <w:rPr>
                <w:rFonts w:ascii="Palatino Linotype" w:hAnsi="Palatino Linotype"/>
                <w:b/>
              </w:rPr>
            </w:pPr>
          </w:p>
          <w:p w14:paraId="057D7232" w14:textId="77777777" w:rsidR="00472A5B" w:rsidRDefault="00472A5B" w:rsidP="00AA6536">
            <w:pPr>
              <w:spacing w:line="360" w:lineRule="auto"/>
              <w:ind w:right="-164"/>
              <w:jc w:val="center"/>
              <w:rPr>
                <w:rFonts w:ascii="Palatino Linotype" w:hAnsi="Palatino Linotype"/>
                <w:b/>
              </w:rPr>
            </w:pPr>
          </w:p>
          <w:p w14:paraId="4E1565AB" w14:textId="77777777" w:rsidR="00730A81" w:rsidRDefault="00730A81" w:rsidP="00AA6536">
            <w:pPr>
              <w:spacing w:line="360" w:lineRule="auto"/>
              <w:ind w:right="-164"/>
              <w:jc w:val="center"/>
              <w:rPr>
                <w:rFonts w:ascii="Palatino Linotype" w:hAnsi="Palatino Linotype"/>
                <w:b/>
              </w:rPr>
            </w:pPr>
          </w:p>
          <w:p w14:paraId="25EA29EA" w14:textId="77777777" w:rsidR="00730A81" w:rsidRDefault="00730A81" w:rsidP="00AA6536">
            <w:pPr>
              <w:spacing w:line="360" w:lineRule="auto"/>
              <w:ind w:right="-164"/>
              <w:jc w:val="center"/>
              <w:rPr>
                <w:rFonts w:ascii="Palatino Linotype" w:hAnsi="Palatino Linotype"/>
                <w:b/>
              </w:rPr>
            </w:pPr>
          </w:p>
          <w:p w14:paraId="2356B2DA" w14:textId="77777777" w:rsidR="00730A81" w:rsidRDefault="00730A81" w:rsidP="00AA6536">
            <w:pPr>
              <w:spacing w:line="360" w:lineRule="auto"/>
              <w:ind w:right="-164"/>
              <w:jc w:val="center"/>
              <w:rPr>
                <w:rFonts w:ascii="Palatino Linotype" w:hAnsi="Palatino Linotype"/>
                <w:b/>
              </w:rPr>
            </w:pPr>
          </w:p>
          <w:p w14:paraId="5FFE4772" w14:textId="77777777" w:rsidR="00472A5B" w:rsidRDefault="00472A5B" w:rsidP="00730A81">
            <w:pPr>
              <w:spacing w:line="360" w:lineRule="auto"/>
              <w:ind w:right="-164"/>
              <w:jc w:val="center"/>
              <w:rPr>
                <w:rFonts w:ascii="Palatino Linotype" w:hAnsi="Palatino Linotype"/>
                <w:b/>
              </w:rPr>
            </w:pPr>
          </w:p>
          <w:p w14:paraId="3F00C7F7" w14:textId="77777777" w:rsidR="00730A81" w:rsidRDefault="00730A81" w:rsidP="00730A81">
            <w:pPr>
              <w:spacing w:line="360" w:lineRule="auto"/>
              <w:ind w:right="-164"/>
              <w:jc w:val="center"/>
              <w:rPr>
                <w:rFonts w:ascii="Palatino Linotype" w:hAnsi="Palatino Linotype"/>
                <w:b/>
              </w:rPr>
            </w:pPr>
          </w:p>
          <w:p w14:paraId="3DC06E4B" w14:textId="77777777" w:rsidR="00EB7480" w:rsidRPr="00A305AC" w:rsidRDefault="00EB7480" w:rsidP="00012267">
            <w:pPr>
              <w:ind w:right="-164"/>
              <w:jc w:val="center"/>
              <w:rPr>
                <w:rFonts w:ascii="Palatino Linotype" w:hAnsi="Palatino Linotype"/>
                <w:b/>
              </w:rPr>
            </w:pPr>
            <w:r w:rsidRPr="00A305AC">
              <w:rPr>
                <w:rFonts w:ascii="Palatino Linotype" w:hAnsi="Palatino Linotype"/>
                <w:b/>
              </w:rPr>
              <w:t xml:space="preserve">EVA ABAID YAPUR </w:t>
            </w:r>
          </w:p>
          <w:p w14:paraId="50FEA3A9" w14:textId="77777777" w:rsidR="00EB7480" w:rsidRDefault="00EB7480" w:rsidP="00012267">
            <w:pPr>
              <w:ind w:right="-164"/>
              <w:jc w:val="center"/>
              <w:rPr>
                <w:rFonts w:ascii="Palatino Linotype" w:hAnsi="Palatino Linotype"/>
                <w:b/>
              </w:rPr>
            </w:pPr>
            <w:r w:rsidRPr="00A305AC">
              <w:rPr>
                <w:rFonts w:ascii="Palatino Linotype" w:hAnsi="Palatino Linotype"/>
                <w:b/>
              </w:rPr>
              <w:t>COMISIONADA</w:t>
            </w:r>
          </w:p>
          <w:p w14:paraId="6AC977F4" w14:textId="4E0BAACD" w:rsidR="00BF1B37" w:rsidRDefault="00BF1B37" w:rsidP="00012267">
            <w:pPr>
              <w:ind w:right="-164"/>
              <w:jc w:val="center"/>
              <w:rPr>
                <w:rFonts w:ascii="Palatino Linotype" w:hAnsi="Palatino Linotype"/>
                <w:b/>
              </w:rPr>
            </w:pPr>
            <w:r>
              <w:rPr>
                <w:rFonts w:ascii="Palatino Linotype" w:hAnsi="Palatino Linotype"/>
                <w:b/>
              </w:rPr>
              <w:t>(RÚBRICA)</w:t>
            </w:r>
          </w:p>
          <w:p w14:paraId="2772608D" w14:textId="65C83E92" w:rsidR="00AA6536" w:rsidRPr="00A305AC" w:rsidRDefault="00AA6536" w:rsidP="00012267">
            <w:pPr>
              <w:ind w:right="-164"/>
              <w:jc w:val="center"/>
              <w:rPr>
                <w:rFonts w:ascii="Palatino Linotype" w:hAnsi="Palatino Linotype"/>
                <w:b/>
              </w:rPr>
            </w:pPr>
            <w:bookmarkStart w:id="0" w:name="_GoBack"/>
            <w:bookmarkEnd w:id="0"/>
          </w:p>
        </w:tc>
      </w:tr>
    </w:tbl>
    <w:p w14:paraId="3907D53A" w14:textId="77777777" w:rsidR="00472A5B" w:rsidRDefault="00472A5B"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14:paraId="7C8BF2B9" w14:textId="77777777" w:rsidR="00472A5B" w:rsidRDefault="00472A5B"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14:paraId="1FEBAF8D" w14:textId="77777777" w:rsidR="00472A5B" w:rsidRDefault="00472A5B"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14:paraId="2FBA6FF1" w14:textId="77777777" w:rsidR="00472A5B" w:rsidRDefault="00472A5B"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14:paraId="1E65417A" w14:textId="77777777" w:rsidR="00472A5B" w:rsidRDefault="00472A5B"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14:paraId="303229B8" w14:textId="77777777" w:rsidR="00472A5B" w:rsidRDefault="00472A5B"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14:paraId="7AD853AA" w14:textId="65547ED4" w:rsidR="006C0E80" w:rsidRPr="00730A81" w:rsidRDefault="00012267"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0"/>
          <w:szCs w:val="20"/>
        </w:rPr>
      </w:pPr>
      <w:r w:rsidRPr="00730A81">
        <w:rPr>
          <w:rFonts w:ascii="Palatino Linotype" w:eastAsia="Calibri" w:hAnsi="Palatino Linotype" w:cs="Arial"/>
          <w:color w:val="000000" w:themeColor="text1"/>
          <w:sz w:val="20"/>
          <w:szCs w:val="20"/>
        </w:rPr>
        <w:t xml:space="preserve">Esta hoja corresponde al voto particular emitido en la resolución del </w:t>
      </w:r>
      <w:r w:rsidRPr="00730A81">
        <w:rPr>
          <w:rFonts w:ascii="Palatino Linotype" w:hAnsi="Palatino Linotype" w:cs="Arial"/>
          <w:sz w:val="20"/>
          <w:szCs w:val="20"/>
        </w:rPr>
        <w:t>recurso de revisión 0</w:t>
      </w:r>
      <w:r w:rsidR="00472A5B" w:rsidRPr="00730A81">
        <w:rPr>
          <w:rFonts w:ascii="Palatino Linotype" w:hAnsi="Palatino Linotype" w:cs="Arial"/>
          <w:sz w:val="20"/>
          <w:szCs w:val="20"/>
        </w:rPr>
        <w:t>3849</w:t>
      </w:r>
      <w:r w:rsidRPr="00730A81">
        <w:rPr>
          <w:rFonts w:ascii="Palatino Linotype" w:hAnsi="Palatino Linotype" w:cs="Arial"/>
          <w:sz w:val="20"/>
          <w:szCs w:val="20"/>
        </w:rPr>
        <w:t>/INFOEM/IP/RR/2018</w:t>
      </w:r>
      <w:r w:rsidRPr="00730A81">
        <w:rPr>
          <w:rFonts w:ascii="Palatino Linotype" w:eastAsia="Calibri" w:hAnsi="Palatino Linotype" w:cs="Arial"/>
          <w:color w:val="000000" w:themeColor="text1"/>
          <w:sz w:val="20"/>
          <w:szCs w:val="20"/>
        </w:rPr>
        <w:t xml:space="preserve">, aprobada el </w:t>
      </w:r>
      <w:r w:rsidR="00472A5B" w:rsidRPr="00730A81">
        <w:rPr>
          <w:rFonts w:ascii="Palatino Linotype" w:eastAsia="Calibri" w:hAnsi="Palatino Linotype" w:cs="Arial"/>
          <w:color w:val="000000" w:themeColor="text1"/>
          <w:sz w:val="20"/>
          <w:szCs w:val="20"/>
        </w:rPr>
        <w:t>veintiocho de noviembre</w:t>
      </w:r>
      <w:r w:rsidRPr="00730A81">
        <w:rPr>
          <w:rFonts w:ascii="Palatino Linotype" w:eastAsia="Calibri" w:hAnsi="Palatino Linotype" w:cs="Arial"/>
          <w:color w:val="000000" w:themeColor="text1"/>
          <w:sz w:val="20"/>
          <w:szCs w:val="20"/>
        </w:rPr>
        <w:t xml:space="preserve"> de dos mil dieciocho. </w:t>
      </w:r>
    </w:p>
    <w:p w14:paraId="47E5DF91" w14:textId="77777777" w:rsidR="00730A81" w:rsidRPr="00730A81" w:rsidRDefault="00730A81"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8"/>
          <w:szCs w:val="20"/>
        </w:rPr>
      </w:pPr>
    </w:p>
    <w:p w14:paraId="5FB9E1F1" w14:textId="580E998B" w:rsidR="00F506FE" w:rsidRPr="00730A81" w:rsidRDefault="00012267" w:rsidP="00012267">
      <w:pPr>
        <w:pStyle w:val="Encabezado"/>
        <w:tabs>
          <w:tab w:val="clear" w:pos="4252"/>
          <w:tab w:val="clear" w:pos="8504"/>
          <w:tab w:val="left" w:pos="2326"/>
        </w:tabs>
        <w:ind w:right="-93"/>
        <w:jc w:val="both"/>
        <w:rPr>
          <w:rFonts w:ascii="Palatino Linotype" w:eastAsia="Calibri" w:hAnsi="Palatino Linotype" w:cs="Arial"/>
          <w:color w:val="000000" w:themeColor="text1"/>
          <w:sz w:val="20"/>
          <w:szCs w:val="20"/>
        </w:rPr>
      </w:pPr>
      <w:r w:rsidRPr="00730A81">
        <w:rPr>
          <w:rFonts w:ascii="Palatino Linotype" w:eastAsia="Calibri" w:hAnsi="Palatino Linotype" w:cs="Arial"/>
          <w:color w:val="000000" w:themeColor="text1"/>
          <w:sz w:val="20"/>
          <w:szCs w:val="20"/>
        </w:rPr>
        <w:t>YSM/ATU</w:t>
      </w:r>
    </w:p>
    <w:sectPr w:rsidR="00F506FE" w:rsidRPr="00730A81"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B8E5D" w14:textId="77777777" w:rsidR="008F4BE2" w:rsidRDefault="008F4BE2" w:rsidP="00C80F8C">
      <w:r>
        <w:separator/>
      </w:r>
    </w:p>
  </w:endnote>
  <w:endnote w:type="continuationSeparator" w:id="0">
    <w:p w14:paraId="154BD4AE" w14:textId="77777777" w:rsidR="008F4BE2" w:rsidRDefault="008F4B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F1B37">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F1B3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796BB" w14:textId="77777777" w:rsidR="008F4BE2" w:rsidRDefault="008F4BE2" w:rsidP="00C80F8C">
      <w:r>
        <w:separator/>
      </w:r>
    </w:p>
  </w:footnote>
  <w:footnote w:type="continuationSeparator" w:id="0">
    <w:p w14:paraId="4BF64082" w14:textId="77777777" w:rsidR="008F4BE2" w:rsidRDefault="008F4BE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BF1B3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182C47B"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A305AC">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296D4080" w:rsidR="00634485" w:rsidRDefault="0034309A" w:rsidP="00283041">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A305AC" w:rsidRPr="00A305AC">
      <w:rPr>
        <w:rFonts w:ascii="Palatino Linotype" w:hAnsi="Palatino Linotype" w:cs="Arial"/>
        <w:sz w:val="20"/>
        <w:szCs w:val="20"/>
      </w:rPr>
      <w:t>0</w:t>
    </w:r>
    <w:r w:rsidR="00283041">
      <w:rPr>
        <w:rFonts w:ascii="Palatino Linotype" w:hAnsi="Palatino Linotype" w:cs="Arial"/>
        <w:sz w:val="20"/>
        <w:szCs w:val="20"/>
      </w:rPr>
      <w:t>3849/INFOEM/IP/RR/2018</w:t>
    </w:r>
    <w:r w:rsidR="00A305AC">
      <w:rPr>
        <w:rFonts w:ascii="Palatino Linotype" w:hAnsi="Palatino Linotype" w:cs="Arial"/>
        <w:sz w:val="20"/>
        <w:szCs w:val="20"/>
      </w:rPr>
      <w:t>.</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30B87123" w:rsidR="0030072F" w:rsidRDefault="00BF1B37"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4.2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BF1B3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AA0CD7"/>
    <w:multiLevelType w:val="hybridMultilevel"/>
    <w:tmpl w:val="407AF442"/>
    <w:lvl w:ilvl="0" w:tplc="1E564B3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56919"/>
    <w:multiLevelType w:val="hybridMultilevel"/>
    <w:tmpl w:val="0908F6AA"/>
    <w:lvl w:ilvl="0" w:tplc="2688ABCA">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56193289"/>
    <w:multiLevelType w:val="hybridMultilevel"/>
    <w:tmpl w:val="37ECB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2267"/>
    <w:rsid w:val="0001751C"/>
    <w:rsid w:val="00017D16"/>
    <w:rsid w:val="000412FB"/>
    <w:rsid w:val="00055107"/>
    <w:rsid w:val="0006079D"/>
    <w:rsid w:val="0007653D"/>
    <w:rsid w:val="00082101"/>
    <w:rsid w:val="0008542A"/>
    <w:rsid w:val="0008745A"/>
    <w:rsid w:val="00092678"/>
    <w:rsid w:val="00095B30"/>
    <w:rsid w:val="000B3FFD"/>
    <w:rsid w:val="000C4453"/>
    <w:rsid w:val="000D136C"/>
    <w:rsid w:val="000D66DE"/>
    <w:rsid w:val="000E1B00"/>
    <w:rsid w:val="000E2B1A"/>
    <w:rsid w:val="000E4C17"/>
    <w:rsid w:val="00102EEC"/>
    <w:rsid w:val="0010583C"/>
    <w:rsid w:val="00117749"/>
    <w:rsid w:val="00123644"/>
    <w:rsid w:val="001317F7"/>
    <w:rsid w:val="0013735C"/>
    <w:rsid w:val="00140058"/>
    <w:rsid w:val="00171012"/>
    <w:rsid w:val="00175DEE"/>
    <w:rsid w:val="00187FFD"/>
    <w:rsid w:val="001950C9"/>
    <w:rsid w:val="001A0DB5"/>
    <w:rsid w:val="001C5D19"/>
    <w:rsid w:val="001E757E"/>
    <w:rsid w:val="001E763C"/>
    <w:rsid w:val="002314AA"/>
    <w:rsid w:val="0023504D"/>
    <w:rsid w:val="00237A37"/>
    <w:rsid w:val="0024119C"/>
    <w:rsid w:val="0025202C"/>
    <w:rsid w:val="002548B8"/>
    <w:rsid w:val="002562CC"/>
    <w:rsid w:val="00283041"/>
    <w:rsid w:val="002940F8"/>
    <w:rsid w:val="002B7856"/>
    <w:rsid w:val="002C4502"/>
    <w:rsid w:val="002D3BBD"/>
    <w:rsid w:val="002D4526"/>
    <w:rsid w:val="002D69E1"/>
    <w:rsid w:val="0030072F"/>
    <w:rsid w:val="003056D9"/>
    <w:rsid w:val="003102FA"/>
    <w:rsid w:val="0034309A"/>
    <w:rsid w:val="0037321B"/>
    <w:rsid w:val="003A6F70"/>
    <w:rsid w:val="003C23BE"/>
    <w:rsid w:val="003C28FC"/>
    <w:rsid w:val="003C2D10"/>
    <w:rsid w:val="003C7226"/>
    <w:rsid w:val="003D1C14"/>
    <w:rsid w:val="003D297D"/>
    <w:rsid w:val="003D3402"/>
    <w:rsid w:val="003F4C9C"/>
    <w:rsid w:val="00410D1F"/>
    <w:rsid w:val="00414E48"/>
    <w:rsid w:val="00414E7B"/>
    <w:rsid w:val="004179B7"/>
    <w:rsid w:val="004315BB"/>
    <w:rsid w:val="0044271B"/>
    <w:rsid w:val="00443646"/>
    <w:rsid w:val="0044475B"/>
    <w:rsid w:val="00455CB3"/>
    <w:rsid w:val="004661D2"/>
    <w:rsid w:val="00472A5B"/>
    <w:rsid w:val="004776FF"/>
    <w:rsid w:val="004B7325"/>
    <w:rsid w:val="004C40EA"/>
    <w:rsid w:val="004C64D9"/>
    <w:rsid w:val="004D0A26"/>
    <w:rsid w:val="00500FFD"/>
    <w:rsid w:val="00516914"/>
    <w:rsid w:val="005236B6"/>
    <w:rsid w:val="005318AB"/>
    <w:rsid w:val="00562649"/>
    <w:rsid w:val="00575235"/>
    <w:rsid w:val="0058067E"/>
    <w:rsid w:val="0058639E"/>
    <w:rsid w:val="005870DF"/>
    <w:rsid w:val="005B773B"/>
    <w:rsid w:val="005C5B04"/>
    <w:rsid w:val="005C66D4"/>
    <w:rsid w:val="005D14C4"/>
    <w:rsid w:val="005D1946"/>
    <w:rsid w:val="00612544"/>
    <w:rsid w:val="00634485"/>
    <w:rsid w:val="00672211"/>
    <w:rsid w:val="006824EF"/>
    <w:rsid w:val="00684492"/>
    <w:rsid w:val="006869DD"/>
    <w:rsid w:val="00694EB3"/>
    <w:rsid w:val="006967D4"/>
    <w:rsid w:val="006A496D"/>
    <w:rsid w:val="006C0991"/>
    <w:rsid w:val="006C0E80"/>
    <w:rsid w:val="006E6389"/>
    <w:rsid w:val="006F30F8"/>
    <w:rsid w:val="00700292"/>
    <w:rsid w:val="00712BC2"/>
    <w:rsid w:val="0071346B"/>
    <w:rsid w:val="00720A20"/>
    <w:rsid w:val="00721966"/>
    <w:rsid w:val="00724599"/>
    <w:rsid w:val="00730A81"/>
    <w:rsid w:val="00736C06"/>
    <w:rsid w:val="007416E3"/>
    <w:rsid w:val="00742010"/>
    <w:rsid w:val="00772360"/>
    <w:rsid w:val="007A01E2"/>
    <w:rsid w:val="007A4AB6"/>
    <w:rsid w:val="007B6E55"/>
    <w:rsid w:val="007C0FDA"/>
    <w:rsid w:val="007C3C0E"/>
    <w:rsid w:val="007D0FEE"/>
    <w:rsid w:val="008135D9"/>
    <w:rsid w:val="0081611A"/>
    <w:rsid w:val="008217CD"/>
    <w:rsid w:val="00846A21"/>
    <w:rsid w:val="00892AFC"/>
    <w:rsid w:val="008C0700"/>
    <w:rsid w:val="008C0C70"/>
    <w:rsid w:val="008C17F2"/>
    <w:rsid w:val="008D1526"/>
    <w:rsid w:val="008D584A"/>
    <w:rsid w:val="008F4BE2"/>
    <w:rsid w:val="00926A92"/>
    <w:rsid w:val="00932A13"/>
    <w:rsid w:val="0093343E"/>
    <w:rsid w:val="00953EC8"/>
    <w:rsid w:val="00966E59"/>
    <w:rsid w:val="00975AA3"/>
    <w:rsid w:val="00975EB9"/>
    <w:rsid w:val="009773AF"/>
    <w:rsid w:val="00986740"/>
    <w:rsid w:val="00986DDD"/>
    <w:rsid w:val="009A271C"/>
    <w:rsid w:val="009A67F5"/>
    <w:rsid w:val="009B65F4"/>
    <w:rsid w:val="009C3ECD"/>
    <w:rsid w:val="009C46BF"/>
    <w:rsid w:val="009D63A9"/>
    <w:rsid w:val="00A032F1"/>
    <w:rsid w:val="00A04C79"/>
    <w:rsid w:val="00A14B1D"/>
    <w:rsid w:val="00A305AC"/>
    <w:rsid w:val="00A40057"/>
    <w:rsid w:val="00A4593D"/>
    <w:rsid w:val="00A53958"/>
    <w:rsid w:val="00A60D1E"/>
    <w:rsid w:val="00A81140"/>
    <w:rsid w:val="00A824CA"/>
    <w:rsid w:val="00AA6536"/>
    <w:rsid w:val="00AB21DA"/>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3AFD"/>
    <w:rsid w:val="00B64C77"/>
    <w:rsid w:val="00B650A8"/>
    <w:rsid w:val="00B80485"/>
    <w:rsid w:val="00B95BF7"/>
    <w:rsid w:val="00BD7483"/>
    <w:rsid w:val="00BF1B37"/>
    <w:rsid w:val="00C1644D"/>
    <w:rsid w:val="00C30621"/>
    <w:rsid w:val="00C307F0"/>
    <w:rsid w:val="00C4493E"/>
    <w:rsid w:val="00C766EF"/>
    <w:rsid w:val="00C80F8C"/>
    <w:rsid w:val="00CA047D"/>
    <w:rsid w:val="00CC5EAB"/>
    <w:rsid w:val="00CF30E8"/>
    <w:rsid w:val="00D01B99"/>
    <w:rsid w:val="00D22D87"/>
    <w:rsid w:val="00D557C2"/>
    <w:rsid w:val="00D64F32"/>
    <w:rsid w:val="00DA5209"/>
    <w:rsid w:val="00DD6A6C"/>
    <w:rsid w:val="00DF0625"/>
    <w:rsid w:val="00E10A96"/>
    <w:rsid w:val="00E140F9"/>
    <w:rsid w:val="00E146AA"/>
    <w:rsid w:val="00E27F2A"/>
    <w:rsid w:val="00E412E0"/>
    <w:rsid w:val="00E42755"/>
    <w:rsid w:val="00E43B8E"/>
    <w:rsid w:val="00E45B76"/>
    <w:rsid w:val="00E46383"/>
    <w:rsid w:val="00E50E30"/>
    <w:rsid w:val="00E76ECF"/>
    <w:rsid w:val="00E8209A"/>
    <w:rsid w:val="00EA27CB"/>
    <w:rsid w:val="00EA69DF"/>
    <w:rsid w:val="00EA7874"/>
    <w:rsid w:val="00EB7480"/>
    <w:rsid w:val="00EB7DE6"/>
    <w:rsid w:val="00EB7F1A"/>
    <w:rsid w:val="00EC0002"/>
    <w:rsid w:val="00ED34E1"/>
    <w:rsid w:val="00ED5EE9"/>
    <w:rsid w:val="00F36414"/>
    <w:rsid w:val="00F36CDE"/>
    <w:rsid w:val="00F44E84"/>
    <w:rsid w:val="00F506FE"/>
    <w:rsid w:val="00F548A9"/>
    <w:rsid w:val="00F54D8B"/>
    <w:rsid w:val="00F55270"/>
    <w:rsid w:val="00F9624E"/>
    <w:rsid w:val="00FA6221"/>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CBF9-E307-4B62-8ACA-E50261D2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2018-12-03T21:00:00Z</cp:lastPrinted>
  <dcterms:created xsi:type="dcterms:W3CDTF">2018-12-03T18:24:00Z</dcterms:created>
  <dcterms:modified xsi:type="dcterms:W3CDTF">2019-01-11T04:29:00Z</dcterms:modified>
</cp:coreProperties>
</file>